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rgnx-20260630.htm"/>
        <w:bookmarkStart w:id="1" w:name="ksrgnx20260630"/>
        <w:bookmarkEnd w:id="0"/>
        <w:bookmarkEnd w:id="1"/>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pBdr>
          <w:bottom w:val="double" w:sz="6"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18"/>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 to 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001-37553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REGENXBIO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47-1851754</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9804 Medical Center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Rockville, MD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(240) 552-8181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003" w:type="dxa"/>
        <w:jc w:val="left"/>
        <w:tblInd w:w="0" w:type="dxa"/>
        <w:tblLayout w:type="fixed"/>
        <w:tblCellMar>
          <w:top w:w="28" w:type="dxa"/>
          <w:left w:w="28" w:type="dxa"/>
          <w:bottom w:w="28" w:type="dxa"/>
          <w:right w:w="28" w:type="dxa"/>
        </w:tblCellMar>
      </w:tblPr>
      <w:tblGrid>
        <w:gridCol w:w="3706"/>
        <w:gridCol w:w="159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59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5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RGNX</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July 31, 2026, there were 66,013,192 shares of the registrant’s common stock, par value $0.0001 per share, issued and outstanding.</w:t>
      </w:r>
    </w:p>
    <w:p>
      <w:pPr>
        <w:pStyle w:val="TextBody"/>
        <w:bidi w:val="0"/>
        <w:jc w:val="left"/>
        <w:rPr/>
      </w:pPr>
      <w:r>
        <w:rPr/>
        <w: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240" w:after="283"/>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862"/>
        <w:gridCol w:w="391"/>
        <w:gridCol w:w="8444"/>
        <w:gridCol w:w="146"/>
        <w:gridCol w:w="362"/>
      </w:tblGrid>
      <w:tr>
        <w:trPr/>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balance_sheets">
              <w:r>
                <w:rPr>
                  <w:rStyle w:val="InternetLink"/>
                  <w:rFonts w:ascii="Times New Roman" w:hAnsi="Times New Roman"/>
                  <w:color w:val="0000FF"/>
                  <w:sz w:val="20"/>
                  <w:u w:val="single"/>
                </w:rPr>
                <w:t>Consolidated Balance Sheets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atements_operations_comprehensive_inco">
              <w:r>
                <w:rPr>
                  <w:rStyle w:val="InternetLink"/>
                  <w:rFonts w:ascii="Times New Roman" w:hAnsi="Times New Roman"/>
                  <w:color w:val="0000FF"/>
                  <w:sz w:val="20"/>
                  <w:u w:val="single"/>
                </w:rPr>
                <w:t>Consolidated Statements of Operations and Comprehensive Income (Loss)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atements_of_stockholders_equity">
              <w:r>
                <w:rPr>
                  <w:rStyle w:val="InternetLink"/>
                  <w:rFonts w:ascii="Times New Roman" w:hAnsi="Times New Roman"/>
                  <w:color w:val="0000FF"/>
                  <w:sz w:val="20"/>
                  <w:u w:val="single"/>
                </w:rPr>
                <w:t>Consolidated Statements of Stockholders’ Equity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atements_cash_flows">
              <w:r>
                <w:rPr>
                  <w:rStyle w:val="InternetLink"/>
                  <w:rFonts w:ascii="Times New Roman" w:hAnsi="Times New Roman"/>
                  <w:color w:val="0000FF"/>
                  <w:sz w:val="20"/>
                  <w:u w:val="single"/>
                </w:rPr>
                <w:t>Consolidated 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financial_statements">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Use of Proceeds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697"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These statements express a belief, expectation or intention and are generally accompanied by words that convey projected future events or outcomes such as “anticipate,” “assume,” “believe,” “continue,” “could,” “design,” “estimate,” “expect,” “forecast,” “goal,” “intend,” “may,” “objective,” “plan,” “position,” “potential,” “predict,” “project,” “seek,” “should,” “will,” “would” or variations of such words or by similar expressions. We have based these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and maintain development partnerships, including our collaboration with AbbVie to develop and commercialize ABBV-RGX-314 (surabgene lomparvovec, sura-vec) and our collaboration with Nippon Shinyaku Co., Ltd. to develop and commercialize RGX-121 (clemidsogene lanparvovec) and RGX-111;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including under accelerated approval, and maintain regulatory approval of our product candidates and the labeling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address any deficiencies raised by the U.S. Food and Drug Administration (the FDA) regarding RGX-121 as part of the Complete Response Letter or planned Biologics License Application resubmission;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resolve the partial clinical hold for RGX</w:t>
        <w:noBreakHyphen/>
        <w:t>111 to the satisfaction of the FDA;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timing of enrollment, commencement, completion and the success of our AAVIATE</w:t>
      </w:r>
      <w:r>
        <w:rPr>
          <w:rFonts w:ascii="Times New Roman" w:hAnsi="Times New Roman"/>
          <w:color w:val="000000"/>
          <w:sz w:val="13"/>
        </w:rPr>
        <w:t>®</w:t>
      </w:r>
      <w:r>
        <w:rPr>
          <w:rFonts w:ascii="Times New Roman" w:hAnsi="Times New Roman"/>
          <w:color w:val="000000"/>
          <w:sz w:val="20"/>
        </w:rPr>
        <w:t>, AFFINITY BEYOND</w:t>
      </w:r>
      <w:r>
        <w:rPr>
          <w:rFonts w:ascii="Times New Roman" w:hAnsi="Times New Roman"/>
          <w:color w:val="000000"/>
          <w:sz w:val="13"/>
        </w:rPr>
        <w:t>®</w:t>
      </w:r>
      <w:r>
        <w:rPr>
          <w:rFonts w:ascii="Times New Roman" w:hAnsi="Times New Roman"/>
          <w:color w:val="000000"/>
          <w:sz w:val="20"/>
        </w:rPr>
        <w:t>, AFFINITY DUCHENNE</w:t>
      </w:r>
      <w:r>
        <w:rPr>
          <w:rFonts w:ascii="Times New Roman" w:hAnsi="Times New Roman"/>
          <w:color w:val="000000"/>
          <w:sz w:val="13"/>
        </w:rPr>
        <w:t>®</w:t>
      </w:r>
      <w:r>
        <w:rPr>
          <w:rFonts w:ascii="Times New Roman" w:hAnsi="Times New Roman"/>
          <w:color w:val="000000"/>
          <w:sz w:val="20"/>
        </w:rPr>
        <w:t>, AFFINITY</w:t>
      </w:r>
      <w:r>
        <w:rPr>
          <w:rFonts w:ascii="Times New Roman" w:hAnsi="Times New Roman"/>
          <w:color w:val="000000"/>
          <w:sz w:val="13"/>
        </w:rPr>
        <w:t>®</w:t>
      </w:r>
      <w:r>
        <w:rPr>
          <w:color w:val="000000"/>
        </w:rPr>
        <w:t xml:space="preserve"> </w:t>
      </w:r>
      <w:r>
        <w:rPr>
          <w:rFonts w:ascii="Times New Roman" w:hAnsi="Times New Roman"/>
          <w:color w:val="000000"/>
          <w:sz w:val="20"/>
        </w:rPr>
        <w:t>RISE, ALTITUDE</w:t>
      </w:r>
      <w:r>
        <w:rPr>
          <w:rFonts w:ascii="Times New Roman" w:hAnsi="Times New Roman"/>
          <w:color w:val="000000"/>
          <w:sz w:val="13"/>
        </w:rPr>
        <w:t>®</w:t>
      </w:r>
      <w:r>
        <w:rPr>
          <w:rFonts w:ascii="Times New Roman" w:hAnsi="Times New Roman"/>
          <w:color w:val="000000"/>
          <w:sz w:val="20"/>
        </w:rPr>
        <w:t>, ASCENT</w:t>
      </w:r>
      <w:r>
        <w:rPr>
          <w:rFonts w:ascii="Times New Roman" w:hAnsi="Times New Roman"/>
          <w:color w:val="000000"/>
          <w:sz w:val="13"/>
        </w:rPr>
        <w:t>®</w:t>
      </w:r>
      <w:r>
        <w:rPr>
          <w:rFonts w:ascii="Times New Roman" w:hAnsi="Times New Roman"/>
          <w:color w:val="000000"/>
          <w:sz w:val="20"/>
        </w:rPr>
        <w:t>, ATMOSPHERE</w:t>
      </w:r>
      <w:r>
        <w:rPr>
          <w:rFonts w:ascii="Times New Roman" w:hAnsi="Times New Roman"/>
          <w:color w:val="000000"/>
          <w:sz w:val="13"/>
        </w:rPr>
        <w:t>®</w:t>
      </w:r>
      <w:r>
        <w:rPr>
          <w:rFonts w:ascii="Times New Roman" w:hAnsi="Times New Roman"/>
          <w:color w:val="000000"/>
          <w:sz w:val="20"/>
        </w:rPr>
        <w:t>,</w:t>
      </w:r>
      <w:r>
        <w:rPr>
          <w:color w:val="000000"/>
        </w:rPr>
        <w:t xml:space="preserve"> </w:t>
      </w:r>
      <w:r>
        <w:rPr>
          <w:rFonts w:ascii="Times New Roman" w:hAnsi="Times New Roman"/>
          <w:color w:val="000000"/>
          <w:sz w:val="20"/>
        </w:rPr>
        <w:t>CAMPSIITE</w:t>
      </w:r>
      <w:r>
        <w:rPr>
          <w:rFonts w:ascii="Times New Roman" w:hAnsi="Times New Roman"/>
          <w:color w:val="000000"/>
          <w:sz w:val="13"/>
        </w:rPr>
        <w:t xml:space="preserve">® </w:t>
      </w:r>
      <w:r>
        <w:rPr>
          <w:rFonts w:ascii="Times New Roman" w:hAnsi="Times New Roman"/>
          <w:color w:val="000000"/>
          <w:sz w:val="20"/>
        </w:rPr>
        <w:t>, NAAVIGATE and other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commencement and completion and the success of preclinical studies conducted by us and our development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development and launch of new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expansion and costs of developing and commercializing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and enforce intellectual property protection for our product candidates and technology, and defend against third-party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development and commercialization of product candidates currently being developed by third parties that utilize our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growth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trends and challenges in our business and the market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or retain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of the potential markets for our product candidates and the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any of our products that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expenses and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need for additional financing and our ability to obtain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outcome of legal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government-imposed tariffs or other trade barriers on cost of goods and services, particularly related to partnered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financial markets and banking system that may affect the availability and terms on which we may obtain financing and our ability to accurately predict how long our existing cash resources will be sufficient to fund our anticipated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carefully read the factors discussed in the sections titled “Risk Factors,” “Management’s Discussion and Analysis of Financial Condition and Results of Operations,” and the factors discussed elsewhere in this Quarterly Report on Form 10-Q, our Annual Report on Form 10-K for the year ended December 31, 2025 and in our other filings with the U.S. Securities and Exchange Commission (the SEC)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These forward-looking statements speak only as of the date of this Quarterly Report on Form 10-Q. Except as required by law, we disclaim any duty to update any forward-looking statements, whether as a result of new information, future events or otherwise.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offices are located at 9804 Medical Center Drive, Rockville, MD 20850, and our telephone number is (240) 552-8181. Our website address is www.regenxbio.com. The information contained in, or that can be accessed through, our website is not a part of, or incorporated by reference in, this Quarterly Report on Form 10-Q. We file annual, quarterly, and current reports, proxy statements, and other documents with the SEC under the Exchange Act. You may obtain any reports, proxy and information statements, and other information that we file electronically with the SEC at www.sec.gov.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also may view and download copies of our SEC filings free of charge at our website as soon as reasonably practicable after we electronically file such material with, or furnish it to, the SEC. The information contained on, or that can be accessed through, our website will not be deemed to be incorporated by reference in, and is not considered part of, this Quarterly Report on Form 10-Q. Investors should also note that we use our website, as well as SEC filings, press releases, public conference calls and webcasts, to announce financial information and other material developments regarding our business. We use these channels, as well as any social media channels listed on our website, to communicate with investors and members of the public about our business. It is possible that the information that we post on our social media channels could be deemed material information. Therefore, we encourage investors, the media and others interested in our company to review the information that we post on our social media channels.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used in this Quarterly Report on Form 10-Q, the terms “REGENXBIO,” “we,” “us,” “our” or the “Company” mean REGENXBIO Inc. and its subsidiaries, on a consolidated basis, unless the context indicates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AAVIATE, AFFINITY, AFFINITY BEYOND, AFFINITY DUCHENNE, ALTITUDE, ASCENT, ATMOSPHERE, CAMPSIITE, NAV, NAVXpress, NAVXcell, REGENXBIO and the REGENXBIO logos are our registered trademarks. Any other trademarks appearing in this Quarterly Report on Form 10-Q are the property of their respective 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53"/>
        <w:gridCol w:w="146"/>
        <w:gridCol w:w="211"/>
        <w:gridCol w:w="991"/>
        <w:gridCol w:w="166"/>
        <w:gridCol w:w="146"/>
        <w:gridCol w:w="259"/>
        <w:gridCol w:w="1221"/>
        <w:gridCol w:w="612"/>
      </w:tblGrid>
      <w:tr>
        <w:trPr/>
        <w:tc>
          <w:tcPr>
            <w:tcW w:w="6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195,604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281,281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47,156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453,032</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monetization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118,095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18,943</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monetization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147,408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350,299</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 shares authorized, no shares issued</w:t>
              <w:br/>
              <w:t>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100,000 shares authorized at June 30, 2026 </w:t>
              <w:br/>
              <w:t xml:space="preserve">   and December 31, 2025; 54,164 and 50,892 shares issued and outstanding at </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1,229,442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(1,126,027</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102,733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453,032</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b/>
          <w:color w:val="000000"/>
          <w:sz w:val="20"/>
        </w:rPr>
      </w:pPr>
      <w:bookmarkStart w:id="6" w:name="statements_operations_comprehensive_inco"/>
      <w:bookmarkEnd w:id="6"/>
      <w:r>
        <w:rPr>
          <w:rFonts w:ascii="Times New Roman" w:hAnsi="Times New Roman"/>
          <w:b/>
          <w:color w:val="000000"/>
          <w:sz w:val="20"/>
        </w:rPr>
        <w:t>CONSOLIDATED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78"/>
        <w:gridCol w:w="146"/>
        <w:gridCol w:w="211"/>
        <w:gridCol w:w="785"/>
        <w:gridCol w:w="166"/>
        <w:gridCol w:w="146"/>
        <w:gridCol w:w="211"/>
        <w:gridCol w:w="739"/>
        <w:gridCol w:w="166"/>
        <w:gridCol w:w="146"/>
        <w:gridCol w:w="211"/>
        <w:gridCol w:w="781"/>
        <w:gridCol w:w="166"/>
        <w:gridCol w:w="146"/>
        <w:gridCol w:w="211"/>
        <w:gridCol w:w="781"/>
        <w:gridCol w:w="615"/>
      </w:tblGrid>
      <w:tr>
        <w:trPr/>
        <w:tc>
          <w:tcPr>
            <w:tcW w:w="4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license and royalty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161,522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(51,151</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from licensing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(13,637</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(64,788</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(64,797</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51,423</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51,423</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unaudited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sz w:val="20"/>
        </w:rPr>
      </w:pPr>
      <w:bookmarkStart w:id="7" w:name="statements_of_stockholders_equity"/>
      <w:bookmarkEnd w:id="7"/>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8"/>
        <w:gridCol w:w="146"/>
        <w:gridCol w:w="146"/>
        <w:gridCol w:w="601"/>
        <w:gridCol w:w="146"/>
        <w:gridCol w:w="146"/>
        <w:gridCol w:w="206"/>
        <w:gridCol w:w="365"/>
        <w:gridCol w:w="146"/>
        <w:gridCol w:w="146"/>
        <w:gridCol w:w="196"/>
        <w:gridCol w:w="826"/>
        <w:gridCol w:w="146"/>
        <w:gridCol w:w="146"/>
        <w:gridCol w:w="316"/>
        <w:gridCol w:w="705"/>
        <w:gridCol w:w="166"/>
        <w:gridCol w:w="146"/>
        <w:gridCol w:w="196"/>
        <w:gridCol w:w="886"/>
        <w:gridCol w:w="166"/>
        <w:gridCol w:w="146"/>
        <w:gridCol w:w="224"/>
        <w:gridCol w:w="692"/>
        <w:gridCol w:w="212"/>
      </w:tblGrid>
      <w:tr>
        <w:trPr/>
        <w:tc>
          <w:tcPr>
            <w:tcW w:w="2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 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21,082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at-the-market</w:t>
              <w:br/>
              <w:t>   offering program, net of issuance costs of $624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71,765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20"/>
        <w:gridCol w:w="146"/>
        <w:gridCol w:w="146"/>
        <w:gridCol w:w="601"/>
        <w:gridCol w:w="146"/>
        <w:gridCol w:w="146"/>
        <w:gridCol w:w="206"/>
        <w:gridCol w:w="365"/>
        <w:gridCol w:w="146"/>
        <w:gridCol w:w="146"/>
        <w:gridCol w:w="196"/>
        <w:gridCol w:w="826"/>
        <w:gridCol w:w="146"/>
        <w:gridCol w:w="146"/>
        <w:gridCol w:w="316"/>
        <w:gridCol w:w="705"/>
        <w:gridCol w:w="166"/>
        <w:gridCol w:w="146"/>
        <w:gridCol w:w="196"/>
        <w:gridCol w:w="751"/>
        <w:gridCol w:w="166"/>
        <w:gridCol w:w="146"/>
        <w:gridCol w:w="202"/>
        <w:gridCol w:w="716"/>
        <w:gridCol w:w="213"/>
      </w:tblGrid>
      <w:tr>
        <w:trPr/>
        <w:tc>
          <w:tcPr>
            <w:tcW w:w="3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274,197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(70,871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213,679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8"/>
        <w:gridCol w:w="146"/>
        <w:gridCol w:w="146"/>
        <w:gridCol w:w="601"/>
        <w:gridCol w:w="146"/>
        <w:gridCol w:w="146"/>
        <w:gridCol w:w="206"/>
        <w:gridCol w:w="365"/>
        <w:gridCol w:w="146"/>
        <w:gridCol w:w="146"/>
        <w:gridCol w:w="196"/>
        <w:gridCol w:w="826"/>
        <w:gridCol w:w="166"/>
        <w:gridCol w:w="146"/>
        <w:gridCol w:w="316"/>
        <w:gridCol w:w="705"/>
        <w:gridCol w:w="166"/>
        <w:gridCol w:w="146"/>
        <w:gridCol w:w="196"/>
        <w:gridCol w:w="886"/>
        <w:gridCol w:w="166"/>
        <w:gridCol w:w="146"/>
        <w:gridCol w:w="202"/>
        <w:gridCol w:w="714"/>
        <w:gridCol w:w="212"/>
      </w:tblGrid>
      <w:tr>
        <w:trPr/>
        <w:tc>
          <w:tcPr>
            <w:tcW w:w="2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 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102,733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employee </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at-the-market</w:t>
              <w:br/>
              <w:t>   offering program, net of issuance costs of $624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(67,342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71,765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100"/>
        <w:gridCol w:w="146"/>
        <w:gridCol w:w="146"/>
        <w:gridCol w:w="601"/>
        <w:gridCol w:w="146"/>
        <w:gridCol w:w="146"/>
        <w:gridCol w:w="206"/>
        <w:gridCol w:w="365"/>
        <w:gridCol w:w="146"/>
        <w:gridCol w:w="146"/>
        <w:gridCol w:w="196"/>
        <w:gridCol w:w="826"/>
        <w:gridCol w:w="166"/>
        <w:gridCol w:w="146"/>
        <w:gridCol w:w="316"/>
        <w:gridCol w:w="705"/>
        <w:gridCol w:w="166"/>
        <w:gridCol w:w="146"/>
        <w:gridCol w:w="196"/>
        <w:gridCol w:w="751"/>
        <w:gridCol w:w="166"/>
        <w:gridCol w:w="146"/>
        <w:gridCol w:w="202"/>
        <w:gridCol w:w="716"/>
        <w:gridCol w:w="213"/>
      </w:tblGrid>
      <w:tr>
        <w:trPr/>
        <w:tc>
          <w:tcPr>
            <w:tcW w:w="3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259,651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employee </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 net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(64,788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213,679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sz w:val="20"/>
        </w:rPr>
      </w:pPr>
      <w:bookmarkStart w:id="8" w:name="statements_cash_flows"/>
      <w:bookmarkEnd w:id="8"/>
      <w:r>
        <w:rPr>
          <w:rFonts w:ascii="Times New Roman" w:hAnsi="Times New Roman"/>
          <w:b/>
          <w:color w:val="000000"/>
          <w:sz w:val="20"/>
        </w:rPr>
        <w:t>CONSOLIDATED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8984" w:type="dxa"/>
        <w:jc w:val="left"/>
        <w:tblInd w:w="0" w:type="dxa"/>
        <w:tblLayout w:type="fixed"/>
        <w:tblCellMar>
          <w:top w:w="28" w:type="dxa"/>
          <w:left w:w="28" w:type="dxa"/>
          <w:bottom w:w="28" w:type="dxa"/>
          <w:right w:w="28" w:type="dxa"/>
        </w:tblCellMar>
      </w:tblPr>
      <w:tblGrid>
        <w:gridCol w:w="5821"/>
        <w:gridCol w:w="146"/>
        <w:gridCol w:w="196"/>
        <w:gridCol w:w="751"/>
        <w:gridCol w:w="166"/>
        <w:gridCol w:w="146"/>
        <w:gridCol w:w="196"/>
        <w:gridCol w:w="751"/>
        <w:gridCol w:w="81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(64,788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accretion of discounts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(230,298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Maturities of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136,020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(95,693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paid related to net settlement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sales of common stock under at-the-market offering program,</w:t>
              <w:br/>
              <w:t>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related to at-the-market offering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royalty bond and warrants,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144,526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Repayments under royalty monetization liabilities, net of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increase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81,588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investing and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in accounts payable and accrued expenses</w:t>
              <w:br/>
              <w:t>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costs related to equity offerings and warrants in accounts payable and</w:t>
              <w:br/>
              <w:t>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Business</w:t>
      </w:r>
    </w:p>
    <w:p>
      <w:pPr>
        <w:pStyle w:val="TextBody"/>
        <w:bidi w:val="0"/>
        <w:spacing w:before="120" w:after="283"/>
        <w:jc w:val="left"/>
        <w:rPr>
          <w:rFonts w:ascii="Times New Roman" w:hAnsi="Times New Roman"/>
          <w:sz w:val="20"/>
        </w:rPr>
      </w:pPr>
      <w:r>
        <w:rPr>
          <w:rFonts w:ascii="Times New Roman" w:hAnsi="Times New Roman"/>
          <w:color w:val="000000"/>
          <w:sz w:val="20"/>
        </w:rPr>
        <w:t>REGENXBIO Inc. (the Company) is a clinical-stage biotechnology company seeking to improve lives through the curative potential of gene therapy. The Company's investigational gene therapies use adeno-associated virus (AAV) vectors from its proprietary gene delivery platform (NAV Technology Platform). The NAV</w:t>
      </w:r>
      <w:r>
        <w:rPr>
          <w:rFonts w:ascii="Times New Roman" w:hAnsi="Times New Roman"/>
          <w:color w:val="000000"/>
          <w:sz w:val="13"/>
        </w:rPr>
        <w:t>®</w:t>
      </w:r>
      <w:r>
        <w:rPr>
          <w:rFonts w:ascii="Times New Roman" w:hAnsi="Times New Roman"/>
          <w:color w:val="000000"/>
          <w:sz w:val="20"/>
        </w:rPr>
        <w:t xml:space="preserve"> Technology Platform has consisted of exclusive rights to a large portfolio of proprietary AAV vectors. The Company has developed a broad pipeline of gene therapy product candidates using the NAV Technology Platform as a one-time treatment to address an array of diseases. The Company was formed in 2008 in the State of Delaware and is headquartered in Rockville, Maryland.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lead product candidates include (i) ABBV-RGX-314 (surabgene lomparvovec, sura-vec) for the treatment of wet age-related macular degeneration (wet AMD) and diabetic retinopathy (DR), (ii) RGX-202 for the treatment of Duchenne muscular dystrophy, (iii) RGX-121 (clemidsogene lanparvovec) for the treatment of Mucopolysaccharidosis Type II (MPS II) and (iv) RGX-111 for the treatment of Mucopolysaccharidosis Type I (MPS I). Sura-vec is being developed and commercialized in collaboration with AbbVie Global Enterprises Ltd. (AbbVie), a subsidiary of AbbVie Inc. RGX-121 and RGX-111 are being developed and commercialized in collaboration with Nippon Shinyaku Co., Ltd. (Nippon Shinyaku).</w:t>
      </w:r>
    </w:p>
    <w:p>
      <w:pPr>
        <w:pStyle w:val="TextBody"/>
        <w:bidi w:val="0"/>
        <w:spacing w:before="240" w:after="283"/>
        <w:jc w:val="left"/>
        <w:rPr>
          <w:rFonts w:ascii="Times New Roman" w:hAnsi="Times New Roman"/>
          <w:sz w:val="20"/>
        </w:rPr>
      </w:pPr>
      <w:r>
        <w:rPr>
          <w:rFonts w:ascii="Times New Roman" w:hAnsi="Times New Roman"/>
          <w:color w:val="000000"/>
          <w:sz w:val="20"/>
        </w:rPr>
        <w:t>In addition to its internal product development efforts, the Company has also selectively licensed the NAV Technology Platform and other intellectual property rights to other leading biotechnology and pharmaceutical companies (NAV Technology Licensees). As of June 30, 2026, the NAV Technology Platform was being applied by NAV Technology Licensees in two commercial products, Zolgensma</w:t>
      </w:r>
      <w:r>
        <w:rPr>
          <w:rFonts w:ascii="Times New Roman" w:hAnsi="Times New Roman"/>
          <w:color w:val="000000"/>
          <w:sz w:val="13"/>
        </w:rPr>
        <w:t xml:space="preserve">® </w:t>
      </w:r>
      <w:r>
        <w:rPr>
          <w:rFonts w:ascii="Times New Roman" w:hAnsi="Times New Roman"/>
          <w:color w:val="000000"/>
          <w:sz w:val="20"/>
        </w:rPr>
        <w:t>and Itvisma</w:t>
      </w:r>
      <w:r>
        <w:rPr>
          <w:rFonts w:ascii="Times New Roman" w:hAnsi="Times New Roman"/>
          <w:color w:val="000000"/>
          <w:sz w:val="13"/>
        </w:rPr>
        <w:t>®</w:t>
      </w:r>
      <w:r>
        <w:rPr>
          <w:rFonts w:ascii="Times New Roman" w:hAnsi="Times New Roman"/>
          <w:color w:val="000000"/>
          <w:sz w:val="20"/>
        </w:rPr>
        <w:t xml:space="preserve">, and in the preclinical and clinical development of various other licensed products. Additionally, the Company has licensed intellectual property rights to collaborators for the joint development and commercialization of certain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cumulative losses since inception and as of June 30, 2026, had generated an accumulated deficit of $1.19 billion. The Company's ability to transition to recurring profitability is dependent upon achieving a level of revenues adequate to support its cost structure, which depends heavily on the successful development, approval and commercialization of its product candidates. The Company may never achieve recurring profitability, and unless and until it does, will continue to need to raise additional capital through equity offerings, licensing and collaboration arrangements, or other non-dilutive financings. There is no assurance that the Company will be able to raise sufficient capital or obtain financing on favorable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cash, cash equivalents and marketable securities of $105.5 million. In July 2026, the Company received a $100.0 million development milestone payment from AbbVie following the first patient dosed in its Phase IIb/III trial for DR in June 2026. In July 2026, the Company also completed a public offering of common stock and pre-funded warrants for estimated net proceeds of $107.8 million. Management believes the Company's cash, cash equivalents and marketable securities as of June 30, 2026, along with the milestone payment and offering proceeds received in July 2026, are sufficient to fund operations into the fourth quarter of 2027. As such, the Company believes it has the ability to meet its obligations as they become due for at least the next 12 months from the date these consolidated financial statements were issued. The Company has based this estimate on assumptions that may prove to be wrong, and it could exhaust its capital resources sooner than expected. The Company’s ability to continue as a going concern will depend heavily on the successful development, approval and commercialization of its product candidates and its ability to raise additional capital to fund its operations. If the Company is unable to raise capital sufficient to meet its working capital needs in the future, it may be forced to delay expenditures, reduce the scope of its development activities or make other changes to its operating plans.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are unaudited and have been prepared in conformity with accounting principles generally accepted in the United States of America (GAAP). The interim unaudited consolidated financial statements have been prepared on the same basis as the annual audited consolidated financial statements as of and for the year ended December 31, 2025 included in the Company’s Annual Report on Form 10-K for the year ended December 31, 2025, which was filed with the SEC on March 5, 2026. Certain information and footnote disclosures required by GAAP, which are normally included in the Company’s annual consolidated financial statements, have been omitted pursuant to SEC rules and regulations for interim reporting. In the opinion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management, the accompanying consolidated financial statements reflect all adjustments, which are normal and recurring in nature, necessary for a fair statement of the results of operations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operations for the interim periods are not necessarily indicative of the results of operations to be expected for the full year, any other interim periods, or any future year or period. These interim consolidated financial statements should be read in conjunction with the audited consolidated financial statements as of and for the year ended December 31, 2025, and the notes thereto, which are included in the Company’s Annual Report on Form 10-K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the Company and its wholly owned subsidiaries. All intercompany balances and transactions have been eliminated in consolidation.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GAAP requires management to make estimates and assumptions that affect the reported amounts of assets, liabilities, revenues and expenses and related disclosure of contingent assets and liabilities for the periods presented. Management bases its estimates on historical experience and various other factors that it believes are reasonable under the circumstances, the results of which form the basis for making judgments about the carrying value of assets and liabilities, and other reported amounts, that are not readily apparent from other sources. Actual results may differ materially from these estimates. Estimates are used in the following areas, among others: revenue recognition, the allowance for credit losses, accrued research and development expenses and other accrued liabilities, stock-based compensation expense, interest expense under royalty monetization liabilities, income taxes and fair value measurements.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consists of deposits held at financial institutions that are used to collateralize irrevocable letters of credit required under the Company’s lease agreements and certain other agreements with third parties. The following table provides a reconciliation of cash and cash equivalents and restricted cash as reported on the consolidated balance sheets to the total of these amounts as reported at the end of the period in the consolidated statements of cash flows (in thousands):</w:t>
      </w:r>
    </w:p>
    <w:p>
      <w:pPr>
        <w:pStyle w:val="TextBody"/>
        <w:bidi w:val="0"/>
        <w:jc w:val="left"/>
        <w:rPr/>
      </w:pPr>
      <w:r>
        <w:rPr/>
        <w:t> </w:t>
      </w:r>
    </w:p>
    <w:tbl>
      <w:tblPr>
        <w:tblW w:w="7049" w:type="dxa"/>
        <w:jc w:val="left"/>
        <w:tblInd w:w="0" w:type="dxa"/>
        <w:tblLayout w:type="fixed"/>
        <w:tblCellMar>
          <w:top w:w="28" w:type="dxa"/>
          <w:left w:w="28" w:type="dxa"/>
          <w:bottom w:w="28" w:type="dxa"/>
          <w:right w:w="28" w:type="dxa"/>
        </w:tblCellMar>
      </w:tblPr>
      <w:tblGrid>
        <w:gridCol w:w="4446"/>
        <w:gridCol w:w="146"/>
        <w:gridCol w:w="211"/>
        <w:gridCol w:w="676"/>
        <w:gridCol w:w="146"/>
        <w:gridCol w:w="146"/>
        <w:gridCol w:w="211"/>
        <w:gridCol w:w="676"/>
        <w:gridCol w:w="391"/>
      </w:tblGrid>
      <w:tr>
        <w:trPr/>
        <w:tc>
          <w:tcPr>
            <w:tcW w:w="4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 of consideration due to the Company resulting from its agreements with customers. Accounts receivable include amounts invoiced to customers as well as rights to consideration which have not yet been invoiced, including unbilled royalties and services, and for which payment is conditional solely upon the passage of time. If a licensee elects to terminate a license prior to the end of the license term, the licensed intellectual property is returned to the Company and any accounts receivable from the licensee which are not contractually payable to the Company are charged off as a reduction of revenue in the period of the termination. Accounts receivable which are not expected to be received by the Company within 12 months from the reporting date are stated net of a discount to present value and recorded as non-current assets on the consolidated balance sheets. The present value discount is recognized as a reduction of revenue in the period in which the accounts receivable balance is initially recorded and is accreted as interest income from licensing over the term of the receivables.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are stated net of an allowance for credit losses, if deemed necessary based on the Company’s evaluation of collectability and potential credit losses. Management assesses the collectability of its accounts receivable using the specific identification of account balances and considers the credit quality and financial condition of its significant customers, historical information regarding credit losses and the Company’s evaluation of current and expected future economic conditions. If necessary, an allowance for credit losses is recorded against accounts receivable such that the carrying value of accounts receivable reflects the net amount expected to be collected. Accounts receivable balances are written off against the allowance for credit losses when the potential for collectability is considered remote. The Company did not record an allowance for credit losses on its accounts receivable as of June 30,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required to disclose information on all assets and liabilities reported at fair value that enables an assessment of the inputs used in determining the reported fair values. Accounting Standards Codification (ASC) 820, </w:t>
      </w:r>
      <w:r>
        <w:rPr>
          <w:rFonts w:ascii="Times New Roman" w:hAnsi="Times New Roman"/>
          <w:i/>
          <w:color w:val="000000"/>
          <w:sz w:val="20"/>
        </w:rPr>
        <w:t>Fair Value Measurements and Disclosures</w:t>
      </w:r>
      <w:r>
        <w:rPr>
          <w:rFonts w:ascii="Times New Roman" w:hAnsi="Times New Roman"/>
          <w:color w:val="000000"/>
          <w:sz w:val="20"/>
        </w:rPr>
        <w:t>,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1—Valuations based on unadjusted quoted prices in active markets for identical assets or liabilities that the Company has the ability to access at the measurement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2—Valuations based on quoted prices for similar assets or liabilities in markets that are not active or for which all significant inputs are observable, either directly or indirectly.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3—Valuations that require inputs that reflect the Company’s own assumptions that are both significant to the fair value measurement and unobservable.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assets and liabilities categorized in Level 3. The level within the fair value hierarchy of an asset or liability measured at fair value is based on the lowest level of any input that is significant to the fair value measurement. The fair values of the Company’s Level 2 financial instruments are based on quoted market prices or broker or dealer quotations for similar assets. These investments are initially valued at the transaction price and subsequently valued utilizing third-party pricing providers or other market observable data. Please refer to Note 4 for further information on the Company's fair value measurements.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(loss) per share is calculated by dividing net income (loss) applicable to common stockholders by the weighted-average common shares outstanding during the period, without consideration for common stock equivalents. Diluted net income (loss) per share is calculated by adjusting the weighted-average common shares outstanding for the dilutive effect of common stock equivalents outstanding for the period, determined using the treasury-stock method. For purposes of computing both basic and diluted net income (loss) per share, pre-funded warrants are considered outstanding shares upon issuance because the underlying shares may be issued for nominal consideration and are exercisable after the original issuance date. Contingently convertible shares in which conversion is based on non-market-priced contingencies are excluded from the calculations of both basic and diluted net income (loss) per share until the contingency has been fully met. For purposes of the diluted net income (loss) per share calculation, common stock equivalents are excluded from the calculation of diluted net income (loss) per share if their effect would be anti-dilutive.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adopt any new accounting standards during the three and six months ended June 30, 2026 and 2025 which had a material impact on the consolidated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Recent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Standards Update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The new standard requires disclosures about specific types of expenses included in the expense captions presented on the face of the income statement as well as disclosures about selling expenses. In January 2025, the FASB issued ASU 2025-01, which clarifies the effective date of ASU 2024-03 with respect to interim periods. The standard is effective for the Company for annual periods beginning January 1, 2027 and interim periods beginning January 1, 2028, with early adoption permitted. The standard may be applied either prospectively to financial statements issued for reporting periods after the effective date or retrospectively to any or all prior periods presented in the financial statements. The Company is currently in the process of evaluating the impact of this standard on its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a summary of the Company’s marketable securities, which consist solely of available-for-sale debt securities (in thousands):</w:t>
      </w:r>
    </w:p>
    <w:p>
      <w:pPr>
        <w:pStyle w:val="TextBody"/>
        <w:bidi w:val="0"/>
        <w:jc w:val="left"/>
        <w:rPr/>
      </w:pPr>
      <w:r>
        <w:rPr/>
        <w:t> </w:t>
      </w:r>
    </w:p>
    <w:tbl>
      <w:tblPr>
        <w:tblW w:w="8793" w:type="dxa"/>
        <w:jc w:val="left"/>
        <w:tblInd w:w="0" w:type="dxa"/>
        <w:tblLayout w:type="fixed"/>
        <w:tblCellMar>
          <w:top w:w="28" w:type="dxa"/>
          <w:left w:w="28" w:type="dxa"/>
          <w:bottom w:w="28" w:type="dxa"/>
          <w:right w:w="28" w:type="dxa"/>
        </w:tblCellMar>
      </w:tblPr>
      <w:tblGrid>
        <w:gridCol w:w="3456"/>
        <w:gridCol w:w="146"/>
        <w:gridCol w:w="296"/>
        <w:gridCol w:w="949"/>
        <w:gridCol w:w="146"/>
        <w:gridCol w:w="146"/>
        <w:gridCol w:w="443"/>
        <w:gridCol w:w="443"/>
        <w:gridCol w:w="146"/>
        <w:gridCol w:w="146"/>
        <w:gridCol w:w="318"/>
        <w:gridCol w:w="568"/>
        <w:gridCol w:w="166"/>
        <w:gridCol w:w="146"/>
        <w:gridCol w:w="211"/>
        <w:gridCol w:w="676"/>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98" w:type="dxa"/>
        <w:jc w:val="left"/>
        <w:tblInd w:w="0" w:type="dxa"/>
        <w:tblLayout w:type="fixed"/>
        <w:tblCellMar>
          <w:top w:w="28" w:type="dxa"/>
          <w:left w:w="28" w:type="dxa"/>
          <w:bottom w:w="28" w:type="dxa"/>
          <w:right w:w="28" w:type="dxa"/>
        </w:tblCellMar>
      </w:tblPr>
      <w:tblGrid>
        <w:gridCol w:w="3456"/>
        <w:gridCol w:w="146"/>
        <w:gridCol w:w="265"/>
        <w:gridCol w:w="980"/>
        <w:gridCol w:w="146"/>
        <w:gridCol w:w="146"/>
        <w:gridCol w:w="295"/>
        <w:gridCol w:w="591"/>
        <w:gridCol w:w="146"/>
        <w:gridCol w:w="146"/>
        <w:gridCol w:w="318"/>
        <w:gridCol w:w="568"/>
        <w:gridCol w:w="166"/>
        <w:gridCol w:w="146"/>
        <w:gridCol w:w="211"/>
        <w:gridCol w:w="78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June 30, 2026, no available-for-sale debt securities had remaining maturities greater than one year. As of December 31, 2025, no available-for-sale debt securities had remaining maturities greater than two years. The amortized cost of marketable debt securities is adjusted for amortization of premiums and accretion of discounts to maturity, or to the earliest call date for callable debt securities purchased at a premium.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balance in accumulated other comprehensive loss consisted solely of unrealized gains and losses on available-for-sale debt securities, net of reclassification adjustments for realized gains and losses and income tax effects. The Company uses the aggregate portfolio approach to release the tax effects of unrealized gains and losses on available-for-sale debt securities in accumulated other comprehensive loss. Realized gains and losses from the sale or maturity of marketable securities are based on the specific identification method and are included in results of operations as investment income. Unrealized gain (loss) on available-for-sale securities, net, presented in the statements of operations and comprehensive income (loss) consisted of the following (in thousands):</w:t>
      </w:r>
    </w:p>
    <w:p>
      <w:pPr>
        <w:pStyle w:val="TextBody"/>
        <w:bidi w:val="0"/>
        <w:jc w:val="left"/>
        <w:rPr/>
      </w:pPr>
      <w:r>
        <w:rPr/>
        <w:t> </w:t>
      </w:r>
    </w:p>
    <w:tbl>
      <w:tblPr>
        <w:tblW w:w="10117" w:type="dxa"/>
        <w:jc w:val="left"/>
        <w:tblInd w:w="0" w:type="dxa"/>
        <w:tblLayout w:type="fixed"/>
        <w:tblCellMar>
          <w:top w:w="28" w:type="dxa"/>
          <w:left w:w="28" w:type="dxa"/>
          <w:bottom w:w="28" w:type="dxa"/>
          <w:right w:w="28" w:type="dxa"/>
        </w:tblCellMar>
      </w:tblPr>
      <w:tblGrid>
        <w:gridCol w:w="4956"/>
        <w:gridCol w:w="146"/>
        <w:gridCol w:w="328"/>
        <w:gridCol w:w="585"/>
        <w:gridCol w:w="258"/>
        <w:gridCol w:w="227"/>
        <w:gridCol w:w="328"/>
        <w:gridCol w:w="538"/>
        <w:gridCol w:w="146"/>
        <w:gridCol w:w="146"/>
        <w:gridCol w:w="279"/>
        <w:gridCol w:w="638"/>
        <w:gridCol w:w="220"/>
        <w:gridCol w:w="193"/>
        <w:gridCol w:w="279"/>
        <w:gridCol w:w="459"/>
        <w:gridCol w:w="391"/>
      </w:tblGrid>
      <w:tr>
        <w:trPr/>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(loss)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gains reclassified to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the fair values and unrealized losses of available-for-sale debt securities held by the Company in an unrealized loss position for less than 12 months and 12 months or greater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91"/>
        <w:gridCol w:w="146"/>
        <w:gridCol w:w="211"/>
        <w:gridCol w:w="676"/>
        <w:gridCol w:w="146"/>
        <w:gridCol w:w="146"/>
        <w:gridCol w:w="318"/>
        <w:gridCol w:w="568"/>
        <w:gridCol w:w="166"/>
        <w:gridCol w:w="146"/>
        <w:gridCol w:w="302"/>
        <w:gridCol w:w="496"/>
        <w:gridCol w:w="168"/>
        <w:gridCol w:w="168"/>
        <w:gridCol w:w="335"/>
        <w:gridCol w:w="551"/>
        <w:gridCol w:w="146"/>
        <w:gridCol w:w="146"/>
        <w:gridCol w:w="211"/>
        <w:gridCol w:w="676"/>
        <w:gridCol w:w="146"/>
        <w:gridCol w:w="146"/>
        <w:gridCol w:w="318"/>
        <w:gridCol w:w="568"/>
        <w:gridCol w:w="414"/>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7"/>
        <w:gridCol w:w="146"/>
        <w:gridCol w:w="211"/>
        <w:gridCol w:w="676"/>
        <w:gridCol w:w="146"/>
        <w:gridCol w:w="146"/>
        <w:gridCol w:w="318"/>
        <w:gridCol w:w="568"/>
        <w:gridCol w:w="166"/>
        <w:gridCol w:w="146"/>
        <w:gridCol w:w="303"/>
        <w:gridCol w:w="498"/>
        <w:gridCol w:w="169"/>
        <w:gridCol w:w="169"/>
        <w:gridCol w:w="335"/>
        <w:gridCol w:w="551"/>
        <w:gridCol w:w="146"/>
        <w:gridCol w:w="146"/>
        <w:gridCol w:w="211"/>
        <w:gridCol w:w="676"/>
        <w:gridCol w:w="146"/>
        <w:gridCol w:w="146"/>
        <w:gridCol w:w="318"/>
        <w:gridCol w:w="568"/>
        <w:gridCol w:w="393"/>
      </w:tblGrid>
      <w:tr>
        <w:trPr/>
        <w:tc>
          <w:tcPr>
            <w:tcW w:w="2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available-for-sale debt securities held by the Company in an unrealized loss position consisted of 11 investment grade security positions. The Company has the intent and ability to hold such securities until recovery and, based on the credit quality of the issuers and low severity of each unrealized loss position relative to its amortized cost basis, the Company did not identify any credit losses associated with its available-for-sale debt securities. The Company did not record an allowance for credit losses on its available-for-sale debt securities as of June 30, 2026 or December 31, 2025, and no impairment or credit losses on available-for-sale debt securities were recorded during the three and six months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reported at fair value on a recurring basis include cash equivalents and marketable securities. The following tables present the fair value of cash equivalents and marketable securities in accordance with the fair value hierarchy discussed in Note 2 (in thousands): </w:t>
      </w:r>
    </w:p>
    <w:p>
      <w:pPr>
        <w:pStyle w:val="TextBody"/>
        <w:bidi w:val="0"/>
        <w:jc w:val="left"/>
        <w:rPr/>
      </w:pPr>
      <w:r>
        <w:rPr/>
        <w:t> </w:t>
      </w:r>
    </w:p>
    <w:tbl>
      <w:tblPr>
        <w:tblW w:w="9498" w:type="dxa"/>
        <w:jc w:val="left"/>
        <w:tblInd w:w="0" w:type="dxa"/>
        <w:tblLayout w:type="fixed"/>
        <w:tblCellMar>
          <w:top w:w="28" w:type="dxa"/>
          <w:left w:w="28" w:type="dxa"/>
          <w:bottom w:w="28" w:type="dxa"/>
          <w:right w:w="28" w:type="dxa"/>
        </w:tblCellMar>
      </w:tblPr>
      <w:tblGrid>
        <w:gridCol w:w="4651"/>
        <w:gridCol w:w="146"/>
        <w:gridCol w:w="239"/>
        <w:gridCol w:w="391"/>
        <w:gridCol w:w="146"/>
        <w:gridCol w:w="146"/>
        <w:gridCol w:w="211"/>
        <w:gridCol w:w="676"/>
        <w:gridCol w:w="146"/>
        <w:gridCol w:w="146"/>
        <w:gridCol w:w="239"/>
        <w:gridCol w:w="391"/>
        <w:gridCol w:w="146"/>
        <w:gridCol w:w="146"/>
        <w:gridCol w:w="211"/>
        <w:gridCol w:w="676"/>
        <w:gridCol w:w="7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16,158</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708" w:type="dxa"/>
        <w:jc w:val="left"/>
        <w:tblInd w:w="0" w:type="dxa"/>
        <w:tblLayout w:type="fixed"/>
        <w:tblCellMar>
          <w:top w:w="28" w:type="dxa"/>
          <w:left w:w="28" w:type="dxa"/>
          <w:bottom w:w="28" w:type="dxa"/>
          <w:right w:w="28" w:type="dxa"/>
        </w:tblCellMar>
      </w:tblPr>
      <w:tblGrid>
        <w:gridCol w:w="4651"/>
        <w:gridCol w:w="146"/>
        <w:gridCol w:w="239"/>
        <w:gridCol w:w="391"/>
        <w:gridCol w:w="146"/>
        <w:gridCol w:w="146"/>
        <w:gridCol w:w="211"/>
        <w:gridCol w:w="781"/>
        <w:gridCol w:w="146"/>
        <w:gridCol w:w="146"/>
        <w:gridCol w:w="239"/>
        <w:gridCol w:w="391"/>
        <w:gridCol w:w="146"/>
        <w:gridCol w:w="146"/>
        <w:gridCol w:w="211"/>
        <w:gridCol w:w="781"/>
        <w:gridCol w:w="7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83,144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230,303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Management estimates that the carrying values of its current accounts receivable, other current assets, accounts payable, accrued expenses and other current liabilities approximate fair value due to the short-term nature of those instruments. Certain non-current accounts receivable are recorded at their present values using a discount rate that is based on prevailing market rates on the date the amounts were initially recorded. Management does not believe there have been any significant changes in market conditions or credit quality that would cause the discount rates initially used to be materially different from those that would be used as of June 30, 2026 to determine the present value of these instruments. Accordingly, management estimates that the carrying values of its non-current accounts receivable approximate the fair value of those instruments. Management estimates that the carrying values of its royalty monetization liabilities approximate fair value. As discussed in Note 7, the carrying values of royalty monetization liabilities are based on the Company’s estimate of future royalties, milestones and other consideration to be paid over the life of the arrangement, which are considered Level 3 inputs, as well as any remaining repayment obligations upon maturity of the instruments.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jc w:val="left"/>
        <w:rPr/>
      </w:pPr>
      <w:r>
        <w:rPr/>
        <w:t> </w:t>
      </w:r>
    </w:p>
    <w:tbl>
      <w:tblPr>
        <w:tblW w:w="7185" w:type="dxa"/>
        <w:jc w:val="left"/>
        <w:tblInd w:w="0" w:type="dxa"/>
        <w:tblLayout w:type="fixed"/>
        <w:tblCellMar>
          <w:top w:w="28" w:type="dxa"/>
          <w:left w:w="28" w:type="dxa"/>
          <w:bottom w:w="28" w:type="dxa"/>
          <w:right w:w="28" w:type="dxa"/>
        </w:tblCellMar>
      </w:tblPr>
      <w:tblGrid>
        <w:gridCol w:w="3691"/>
        <w:gridCol w:w="146"/>
        <w:gridCol w:w="239"/>
        <w:gridCol w:w="886"/>
        <w:gridCol w:w="166"/>
        <w:gridCol w:w="146"/>
        <w:gridCol w:w="319"/>
        <w:gridCol w:w="1181"/>
        <w:gridCol w:w="4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New York Lease and Sublease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2016, the Company entered into an operating lease for office space in New York, New York (the New York Lease), which has since been amended to include additional office space and extend the term of the lease. The lease term commenced in July 2016 and expires in April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the Company entered into an agreement to sublease its office space under the New York Lease (the New York Sublease) to a third-party subtenant. The sublease term commenced in April 2024 and expires in April 2027 concurrent with the expiration of the New York Lease. Monthly payments under the New York Sublease commenced in July 2024 and escalate annually in accordance with the sublease agreement. As of June 30, 2026, total undiscounted future minimum lease payments to be received by the Company over the remaining term of the New York Sublease were $0.4 million. The Company recognized sublease income under the New York Sublease of $0.1 million and $0.2 million during the three and six months ended June 30, 2026, respectively, and $0.1 million and $0.2 million during the three and six months ended June 30,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Royalty Monetization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Royalty monetization liabilities are accounted for as debt and consist of the following (in thousands):</w:t>
      </w:r>
    </w:p>
    <w:p>
      <w:pPr>
        <w:pStyle w:val="TextBody"/>
        <w:bidi w:val="0"/>
        <w:jc w:val="left"/>
        <w:rPr/>
      </w:pPr>
      <w:r>
        <w:rPr/>
        <w:t> </w:t>
      </w:r>
    </w:p>
    <w:tbl>
      <w:tblPr>
        <w:tblW w:w="7985" w:type="dxa"/>
        <w:jc w:val="left"/>
        <w:tblInd w:w="0" w:type="dxa"/>
        <w:tblLayout w:type="fixed"/>
        <w:tblCellMar>
          <w:top w:w="28" w:type="dxa"/>
          <w:left w:w="28" w:type="dxa"/>
          <w:bottom w:w="28" w:type="dxa"/>
          <w:right w:w="28" w:type="dxa"/>
        </w:tblCellMar>
      </w:tblPr>
      <w:tblGrid>
        <w:gridCol w:w="4531"/>
        <w:gridCol w:w="146"/>
        <w:gridCol w:w="239"/>
        <w:gridCol w:w="886"/>
        <w:gridCol w:w="146"/>
        <w:gridCol w:w="146"/>
        <w:gridCol w:w="319"/>
        <w:gridCol w:w="1181"/>
        <w:gridCol w:w="3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2020 Royalty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Royalty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royalty monetization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royalty monetization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2020 Royalty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the Company entered into a royalty purchase agreement (the 2020 Royalty Purchase Agreement) with entities managed by Healthcare Royalty Management, LLC (collectively and with other affiliated entities, HCR). Under the 2020 Royalty Purchase Agreement, HCR purchased the Company’s rights to a capped amount of Zolgensma and Itvisma royalty payments under the Company’s license agreement with Novartis Innovative Technologies Inc. (the Novartis License), including $4.0 million of royalty payments received by the Company in the fourth quarter of 2020. In consideration for these rights, HCR paid the Company $200.0 million (the Purchase Price), less $4.0 million representing the payment of the royalties received in the fourth quarter of 2020 to HCR. Beginning upon the effective date of the 2020 Royalty Purchase Agreement, Zolgensma and Itvisma royalty payments, up to a specified threshold, shall be paid to HCR, net of upstream royalties payable by the Company to certain licensors in accordance with existing license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2020 Royalty Purchase Agreement, the total amount of Zolgensma and Itvisma royalty payments to be paid to HCR was subject to an increasing cap (the Cap Amount) equal to (i) $260.0 million applicable for the period from the effective date of the 2020 Royalty Purchase Agreement through November 7, 2024 (the First Cap Amount), and (ii) $300.0 million applicable for the period from November 8, 2024 through the effective date of termination of the Novartis License (the Second Cap Amount). If, 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defined dates for each Cap Amount, the total amount of royalties paid to HCR equals or exceeds the Cap Amount applicable to such date, the 2020 Royalty Purchase Agreement would automatically terminate. The First Cap Amount was not achieved prior to November 7, 2024, therefore the 2020 Royalty Purchase Agreement will remain in effect until the achievement of the Second Cap Amount or the termination of the Novartis License, if earlier. The Company has no obligation to repay any amounts to HCR under the 2020 Royalty Purchase Agreement if future Zolgensma and Itvisma royalty payments are not sufficient to achieve the Second Cap Amount prior to the termination of the Novartis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call option to repurchase its rights to the royalties under the 2020 Royalty Purchase Agreement for a repurchase price equal to, as of the option exercise date, $300.0 million minus the total amount of royalty payments paid to HCR.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proceeds received from HCR under the 2020 Royalty Purchase Agreement of $196.0 million were recorded as a liability, net of transaction costs of $3.5 million, which is amortized over the estimated life of the arrangement using the effective interest method. In order to determine the amortization of the liability, the Company is required to estimate the total amount of future royalty payments to be paid to HCR, subject to the applicable Cap Amount, over the life of the arrangement. The total amount of royalty payments paid to HCR, less the net proceeds received by the Company of $192.5 million, is recorded as interest expense over the life of the arrangement using the effective interest method. Due to its continuing involvement in the Novartis License, the Company continues to recognize royalty revenue on net sales of Zolgensma and Itvisma and records the royalty payments to HCR as a reduction of the liability when paid. As such payments are made to HCR, the balance of the liability will be effectively repaid over the life of the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estimates the effective interest rate used to record interest expense under the 2020 Royalty Purchase Agreement based on its estimate of total Zolgensma and Itvisma royalties to be paid to HCR under the arrangement. At each reporting date, the Company reassesses its estimate of total future royalty payments to be paid to HCR at the applicable Cap Amount and prospectively adjusts the effective interest rate and amortization of the liability as necessary. Over the life of the arrangement, the actual effective interest rate will be affected by the amount and timing of royalty payments actually paid to HCR, which may differ from the Company’s forecasts. The estimated effective interest rate as of June 30, 2026 and December 31, 2025 was 52.6% and 85.2%, respectively, which was based on the amortized balance of the liability and the estimated remaining royalties to be paid to HCR under the arrangement. The estimated interest rate is subject to adjustments in the future based on actual royalties paid to HCR and changes in the royalty forecast. As of June 30, 2026, the estimated effective interest rate over the life of the 2020 Royalty Purchase Agreement, taking into account actual royalties paid to date and the estimated remaining royalties to be paid under the arrangement, was 16.2%.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changes in the royalty monetization liability under the 2020 Royalty Purchase Agreement with HCR (in thousands):</w:t>
      </w:r>
    </w:p>
    <w:p>
      <w:pPr>
        <w:pStyle w:val="TextBody"/>
        <w:bidi w:val="0"/>
        <w:jc w:val="left"/>
        <w:rPr/>
      </w:pPr>
      <w:r>
        <w:rPr/>
        <w:t> </w:t>
      </w:r>
    </w:p>
    <w:tbl>
      <w:tblPr>
        <w:tblW w:w="4988" w:type="dxa"/>
        <w:jc w:val="left"/>
        <w:tblInd w:w="0" w:type="dxa"/>
        <w:tblLayout w:type="fixed"/>
        <w:tblCellMar>
          <w:top w:w="28" w:type="dxa"/>
          <w:left w:w="28" w:type="dxa"/>
          <w:bottom w:w="28" w:type="dxa"/>
          <w:right w:w="28" w:type="dxa"/>
        </w:tblCellMar>
      </w:tblPr>
      <w:tblGrid>
        <w:gridCol w:w="2826"/>
        <w:gridCol w:w="146"/>
        <w:gridCol w:w="357"/>
        <w:gridCol w:w="1248"/>
        <w:gridCol w:w="411"/>
      </w:tblGrid>
      <w:tr>
        <w:trPr/>
        <w:tc>
          <w:tcPr>
            <w:tcW w:w="2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Royalty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Agreement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Novartis royalties paid to HCR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2025 Royalty Bond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entered into a loan agreement with HCR pursuant to which HCR will provide the Company with an aggregate limited recourse loan of up to $250.0 million (the 2025 Royalty Bond). The 2025 Royalty Bond is disbursable to the Company in three tranches, with $150.0 million funded on the closing date in May 2025, $50.0 million available to be funded if sales of a specified product exceed a specified threshold prior to December 31, 2026, and $50.0 million available to be funded if both parties exercise an option in 2027. Loan proceeds under the 2025 Royalty Bond are funded to the Company net of an original issue discount of 2.25% and reimbursement of certain expenses to HCR. Proceeds received by the Company from the initial funding tranche of the 2025 Royalty Bond in May 2025, net of discounts and transaction costs, were $144.5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maturity date, interest and principal under the 2025 Royalty Bond shall be paid quarterly to HCR solely using proceeds received from certain specified royalties, milestone payments, license fees and other consideration payable to the Company under specified license agreements (collectively, the Royalty Interest), including (i) the Novartis License for Zolgensma and Itvisma, (ii) the collaboration and license agreement with Nippon Shinyaku for RGX-121 and RGX-111, and (iii) NAV Technology Platform license agreements with Rocket Pharmaceuticals, Inc. and Ultragenyx Pharmaceutical Inc. Zolgensma and Itvisma royalties earned under the Novartis License shall only be included in the Royalty Interest after full repayment of the Second Cap Amount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2020 Royalty Purchase Agreement with HCR. The Royalty Interest excludes, and the Company retains the rights to, certain other consideration payable under the license agreements including certain milestone payments, license fees and reimbursement of costs as applicable. The Royalty Interest is payable to HCR net of upstream royalty and sublicense fee obligations payable by the Company to applicable licensors. The 2025 Royalty Bond is collateralized by a security interest and lien on the Royalty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2025 Royalty Bond bears interest at a rate of 9.75% plus the 3-month secured overnight financing rate as administered by the Federal Reserve Bank of New York (SOFR), with a minimum interest rate of 14.0%. Interest payments are due quarterly using proceeds received under the Royalty Interest. At each payment date, any proceeds received under the Royalty Interest in excess of the interest payment due will be applied to the outstanding principal. If the proceeds received under the Royalty Interest are insufficient to pay the interest due, unpaid interest will accrue to the principal balance.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2025 Royalty Bond matures in May 2035, subject to potential extension, unless repaid in full at an earlier date. The maturity date may be extended by two years to May 2037 subject to a potential patent term extension of a specific patent. Upon maturity, the outstanding principal and interest shall be due and payable to HCR. Additionally, upon repayment in full prior to the maturity date, or at the maturity date, the Company shall pay to HCR an additional amount equal to 5.0% of the total outstanding principal as of the applicable determination date. Other than through the payment of proceeds received under the Royalty Interest, the 2025 Royalty Bond may not be prepaid prior to maturity.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loan agreement for the 2025 Royalty Bond, the Company also issued HCR warrants to purchase 268,096 shares of its common stock at an exercise price per share of $14.92 (the May 2025 Warrants). The May 2025 Warrants are exercisable upon issuance and expire 10 years from the closing date of the 2025 Royalty Bond. The Company evaluated the May 2025 Warrants and concluded the warrants are indexed to the Company's common stock and meet the criteria to be classified as equity. The net proceeds received by the Company under the loan agreement of $144.5 million were allocated between the 2025 Royalty Bond and the May 2025 Warrants based on their relative fair values. The fair value of the 2025 Royalty Bond was determined based on the carrying amount of the loan on the closing date. The fair value of the May 2025 Warrants was determined using a Black-Scholes option-pricing model on the closing date, resulting in an estimated fair value of the warrants of $1.7 million. Based on the relative fair values of these instruments, $1.6 million of the net proceeds were allocated to the warrants and recorded as additional paid-in capital. The net proceeds allocated to the 2025 Royalty Bond were $142.9 million, resulting in a total debt discount of $7.1 million which is recorded as a reduction of the carrying value of the debt and will be amortized as interest expense over the life of the 2025 Royalty Bond.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 interest rate of the 2025 Royalty Bond is partially estimated based on the Company's estimate of future payments under the Royalty Interest to be paid HCR. At each reporting date, the Company reassesses its estimate of total future payments to HCR under the arrangement and prospectively adjusts the effective interest rate and amortization of the debt and associated discount as necessary. Over the life of the arrangement, the actual effective interest rate will be affected by the amount and timing of the actual Royalty Interest payments to HCR and fluctuations in the variable interest rate, which may differ from the Company’s forecasts. The estimated effective interest rate as of June 30, 2026 and December 31, 2025 was 14.9% and 15.1%, respectively, which was based on the amortized balance of the liability, the current coupon rate and the estimated remaining payments to HCR under the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changes in the royalty monetization liability under the 2025 Royalty Bond with HCR (in thousands):</w:t>
      </w:r>
    </w:p>
    <w:p>
      <w:pPr>
        <w:pStyle w:val="TextBody"/>
        <w:bidi w:val="0"/>
        <w:jc w:val="left"/>
        <w:rPr/>
      </w:pPr>
      <w:r>
        <w:rPr/>
        <w:t> </w:t>
      </w:r>
    </w:p>
    <w:tbl>
      <w:tblPr>
        <w:tblW w:w="6368" w:type="dxa"/>
        <w:jc w:val="left"/>
        <w:tblInd w:w="0" w:type="dxa"/>
        <w:tblLayout w:type="fixed"/>
        <w:tblCellMar>
          <w:top w:w="28" w:type="dxa"/>
          <w:left w:w="28" w:type="dxa"/>
          <w:bottom w:w="28" w:type="dxa"/>
          <w:right w:w="28" w:type="dxa"/>
        </w:tblCellMar>
      </w:tblPr>
      <w:tblGrid>
        <w:gridCol w:w="4296"/>
        <w:gridCol w:w="146"/>
        <w:gridCol w:w="322"/>
        <w:gridCol w:w="1193"/>
        <w:gridCol w:w="411"/>
      </w:tblGrid>
      <w:tr>
        <w:trPr/>
        <w:tc>
          <w:tcPr>
            <w:tcW w:w="4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Royalty Bond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Unpaid interest accrued to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154,746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GlaxoSmithKline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2009, the Company entered into a license agreement, which was amended in April 2009 (as amended, the GSK License), with GlaxoSmithKline LLC (GSK) for exclusive, worldwide rights to certain patents underlying the Company’s NAV Technology Platform which are owned by The Trustees of the University of Pennsylvania (Penn) and exclusively licensed to GSK. Pursuant to the GSK License, the Company is obligated to pay GSK royalties on net sales of licensed products and sublicense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Company is obligated to reimburse GSK for certain costs incurred related to the maintenance of the licensed patents. The Company was also obligated to pay $1.5 million to GSK upon the achievement of various milestones, all of which have been achieved and paid.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incurred by the Company related to the GSK License were recorded as follows (in thousands):</w:t>
      </w:r>
    </w:p>
    <w:p>
      <w:pPr>
        <w:pStyle w:val="TextBody"/>
        <w:bidi w:val="0"/>
        <w:jc w:val="left"/>
        <w:rPr/>
      </w:pPr>
      <w:r>
        <w:rPr/>
        <w:t> </w:t>
      </w:r>
    </w:p>
    <w:tbl>
      <w:tblPr>
        <w:tblW w:w="9596" w:type="dxa"/>
        <w:jc w:val="left"/>
        <w:tblInd w:w="0" w:type="dxa"/>
        <w:tblLayout w:type="fixed"/>
        <w:tblCellMar>
          <w:top w:w="28" w:type="dxa"/>
          <w:left w:w="28" w:type="dxa"/>
          <w:bottom w:w="28" w:type="dxa"/>
          <w:right w:w="28" w:type="dxa"/>
        </w:tblCellMar>
      </w:tblPr>
      <w:tblGrid>
        <w:gridCol w:w="4236"/>
        <w:gridCol w:w="146"/>
        <w:gridCol w:w="280"/>
        <w:gridCol w:w="559"/>
        <w:gridCol w:w="193"/>
        <w:gridCol w:w="193"/>
        <w:gridCol w:w="280"/>
        <w:gridCol w:w="758"/>
        <w:gridCol w:w="146"/>
        <w:gridCol w:w="146"/>
        <w:gridCol w:w="222"/>
        <w:gridCol w:w="713"/>
        <w:gridCol w:w="154"/>
        <w:gridCol w:w="154"/>
        <w:gridCol w:w="222"/>
        <w:gridCol w:w="603"/>
        <w:gridCol w:w="5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and royalty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Royalties on net sales of Zolgensma and Itvisma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license and royalty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12,028</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and December 31, 2025, the Company had recorded $0.9 million and $5.7 million, respectively, payable under the GSK License.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GSK Settlement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notified of a dispute with GSK over the amount of sublicense fees paid by the Company to GSK under the GSK License. GSK claimed there had been a significant underpayment by the Company with respect to sublicense fees. In February 2026, the Company and GSK engaged in non-binding mediation regarding the dispute. In March 2026, the Company and GSK entered into a settlement and release agreement (the GSK Settlement Agreement) to resolve the matter. The GSK Settlement Agreement provides for the mutual release of all past claims and certain future claims by the parties under the GSK License. Pursuant to the GSK Settlement Agreement, the Company paid $10.0 million to GSK in March 2026, which was recorded as cost of license and royalty revenues in the first quarter of 2026. Additionally, the Company will continue to pay sublicense fees to GSK on license fees earned under existing sublicense agreements, utilizing the Company's historical allocation methodologies for such sublicense payments.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a putative securities class action complaint was filed by Andre Kuik (Kuik) against the Company and certain of its current officers and directors in the United States District Court for the District of Maryland. The complaint asserted claims under Sections 10(b) and 20(a) of the Securities Exchange Act of 1934 and Rule 10b-5 promulgated thereunder, on behalf of a putative class of persons who purchased or otherwise acquired the Company's securities during the period from February 9, 2022 through January 27, 2026. The complaint alleged that the Company misled investors concerning the viability and safety of RGX-111, and that the Company's stock price declined following the announcement of the clinical hold imposed by the U.S. Food and Drug Administration (FDA) on the Company’s RGX-111 program on January 28, 2026. In August 2026, an amended complaint was filed focusing on interactions with FDA and Company statements prior to the Company’s receipt of a Complete Response Letter for RGX-121 in February 2026. The amended complaint asserts claims under Sections 10(b) and 20(a) of the Securities Exchange Act of 1934 and Rule 10b-5 promulgated thereunder, on behalf of a putative class of persons who purchased or otherwise acquired the Company's securities during the period from February 7, 2024 through March 3, 2026. The plaintiff seeks unspecified compensatory damages, attorneys' fees, expert fees and other costs, and other relief as the court may deem just and proper. The Company believes that it has meritorious defenses to the claims asserted and intends to vigorously defend against them. The Company does not believe that a loss is probable, and no reasonable range of loss is estimable, related to this matter. No liabilities related to this matter were recorded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2026, a purported stockholder derivative complaint, as revised, was filed by plaintiff Roberto Medina (Medina) against the Company as nominal defendant and certain of its current officers and directors in the United States District Court for the District of Maryland. The complaint alleges breach of fiduciary duty and claims of unjust enrichment, abuse of control, gross mismanagement, waste of corporate assets, and alleged violations of Sections 10(b), 14(a) and 21D of the Securities Exchange Act of 1934 during the period from February 9, 2022 through January 27, 2026. The complaint alleges that the Company misled investors concerning the viability and safety of RGX-111 and that the Company's stock price declined following the announcement of the clinical hold imposed by the FDA on the Company’s RGX-111 program on January 28, 2026. The complaint seeks, among other relief, damages in favor of the Company, disgorgement of alleged profits, restitution, attorneys' fees, expert fees, corporate governance reforms, and other relief as the court may deem just and proper. In May 2026 a substantially similar suit was filed by plaintiff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Matthew Hay (Hay) in the United States District Court for the District of Maryland, containing largely similar factual and legal contentions and requested relief. In June 2026 the Medina and Hay derivative suits were consolidated and stayed through the resolution of the planned motion to dismiss in the Kuik securities suit. The Company believes the claims are procedurally defective. The Company does not believe that a loss is probable, and no reasonable range of loss is estimable, related to this matter. No liabilities related to this matter were recorded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Capitalization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May 2025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in connection with issuance of the 2025 Royalty Bond, the Company issued to HCR the May 2025 Warrants to purchase 268,096 shares of its common stock at an exercise price per share of $14.92. The May 2025 Warrants are exercisable upon issuance and have a contractual term of 10 years. The Company evaluated the May 2025 Warrants and concluded the warrants are indexed to the Company's common stock, meet the criteria to be classified as equity and are not subject to remeasurement. The Company allocated $1.6 million of the net proceeds from the 2025 Royalty Bond to the issuance of the May 2025 Warrants, which were recorded as additional paid-in capital. Please refer to Note 7 for further information on the May 2025 Warrants issued in connection with the 2025 Royalty Bond. As of June 30, 2026, none of the May 2025 Warrants had been exercised and 268,096 of the May 2025 Warrants remained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March 2024 Public Offering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the Company completed a public offering of 4,565,260 shares of its common stock at a price of $23.00 per share and 1,521,740 pre-funded warrants (the March 2024 Pre-funded Warrants) to purchase shares of its common stock at a price of $22.9999 per pre-funded warrant, which equaled the public offering price per share of the common stock less the $0.0001 exercise price of each pre-funded warrant. The aggregate net proceeds received by the Company from the offering were $131.1 million, net of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evaluated the March 2024 Pre-funded Warrants and concluded the warrants are indexed to the Company's common stock, meet the criteria to be classified as equity and are not subject to remeasurement. The proceeds received from the issuance of the pre-funded warrants were recorded as additional paid-in capital. The Company has issued 652,137 shares of common stock upon the exercise of March 2024 Pre-funded Warrants and as of June 30, 2026, 869,603 of the March 2024 Pre-funded Warrants remained outstanding. No pre-funded warrants were exercised during the three and six months ended June 30, 2026, and 199,300 shares of common stock were issued upon the exercise of pre-funded warrants during the three and six months ended June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At-the-Market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Company entered into a Sales Agreement with Leerink Partners LLC (Leerink) pursuant to which the Company may offer and sell shares of its common stock having an aggregate offering price of up to $150.0 million from time to time through Leerink, acting as the Company's sales agent (the ATM Program). During the three and six months ended June 30, 2026, the Company sold 2,318,735 shares of common stock under the ATM Program for aggregate net proceeds of $18.9 million, after deducting commissions and offering expenses. No shares of common stock were sold under the ATM Program prior to the second quarter of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July 2026 Public Offering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2026, the Company completed a public offering of 11,671,139 shares of its common stock (inclusive of 1,667,250 shares pursuant to the full exercise by the underwriters of their option to purchase additional shares) at a price of $9.00 per share and 1,111,111 pre-funded warrants (the July 2026 Pre-funded Warrants) to purchase shares of its common stock at a price of $8.9999 per pre-funded warrant, which equaled the public offering price per share of the common stock less the $0.0001 exercise price of each pre-funded warrant. The aggregate net proceeds received by the Company from the offering were approximately $107.8 million, net of underwriting discounts and commissions and estimated offering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July 2026 Pre-funded Warrants are exercisable at the option of the warrant holder at any time and do not expire. The July 2026 Pre-funded Warrants have similar terms and conditions as the March 2024 Pre-funded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License and Collaboration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and Collaboration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Company’s NAV Technology Platform was being applied by NAV Technology Licensees in two commercial products, Zolgensma and Itvisma, and in the development of various other licensed products. Additionally, the Company has licensed intellectual property rights to collaborators for the joint development and commercialization of certain product candidates. Consideration payable to the Company under its license and collaboration agreements may include: (i) up-front and annual fees, (ii) milestone payments based on the achievement of certain development and sales-based milestones, (iii) sublicense fees, (iv) royalties on sales of licensed products, (v) fees for services related to the development and manufacturing of licensed products and (vi) other consideration payable upon optional goods and services purchased by licensees and collaborators. Sublicense fees vary by license and range from a mid-single digit percentage to a low-double digit percentage of license fees received by licensees as a result of sublicenses. Royalties on net sales of commercialized products vary by license and range from a mid-single digit percentage to a low double-digit percentage of net sales by licensees.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earned under license and collaboration agreements consisted of the following (in thousands):</w:t>
      </w:r>
    </w:p>
    <w:p>
      <w:pPr>
        <w:pStyle w:val="TextBody"/>
        <w:bidi w:val="0"/>
        <w:jc w:val="left"/>
        <w:rPr/>
      </w:pPr>
      <w:r>
        <w:rPr/>
        <w:t> </w:t>
      </w:r>
    </w:p>
    <w:tbl>
      <w:tblPr>
        <w:tblW w:w="8805" w:type="dxa"/>
        <w:jc w:val="left"/>
        <w:tblInd w:w="0" w:type="dxa"/>
        <w:tblLayout w:type="fixed"/>
        <w:tblCellMar>
          <w:top w:w="28" w:type="dxa"/>
          <w:left w:w="28" w:type="dxa"/>
          <w:bottom w:w="28" w:type="dxa"/>
          <w:right w:w="28" w:type="dxa"/>
        </w:tblCellMar>
      </w:tblPr>
      <w:tblGrid>
        <w:gridCol w:w="3236"/>
        <w:gridCol w:w="146"/>
        <w:gridCol w:w="220"/>
        <w:gridCol w:w="815"/>
        <w:gridCol w:w="152"/>
        <w:gridCol w:w="152"/>
        <w:gridCol w:w="220"/>
        <w:gridCol w:w="705"/>
        <w:gridCol w:w="146"/>
        <w:gridCol w:w="146"/>
        <w:gridCol w:w="211"/>
        <w:gridCol w:w="781"/>
        <w:gridCol w:w="146"/>
        <w:gridCol w:w="146"/>
        <w:gridCol w:w="211"/>
        <w:gridCol w:w="781"/>
        <w:gridCol w:w="59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Zolgensma and Itvisma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AbbVie development milestone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Nippon Shinyaku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license and 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103,841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Nippon Shinyaku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108,019</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Outstanding development milestone payments are evaluated each reporting period and are only included in the transaction price of each license to the extent the milestones are considered probable of achievement. Sales-based milestones are excluded from the transaction price of each license agreement and recognized as royalty revenue in the period of achievement. As of June 30, 2026, the Company’s license and collaboration agreements contained unachieved milestones which could result in aggregate milestone payments to the Company of up to $2.06 billion, including (i) $444.0 million upon the commencement of various stages of clinical trials, (ii) $86.5 million upon the submission of regulatory approval filings or upon regulatory approval of licensed products, and (iii) $1.53 billion upon the achievement of specified sales targets for licensed products, including milestones payable upon the first commercial sale of licensed products. To the extent the Company realizes the milestone payments, the Company may be obligated to pay sublicense fees to licensors based on a specified percentage of the fees earned by the Company. The achievement of these milestones is highly dependent on the successful development and commercialization of licensed products and it is at least reasonably possible that some or all of the milestone fees will not be realized by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Accounts Receivable, Contract Assets and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balances of the Company’s accounts receivable, contract assets and deferred revenue, as well as other information regarding revenue recognized, during the periods presented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48"/>
        <w:gridCol w:w="146"/>
        <w:gridCol w:w="219"/>
        <w:gridCol w:w="812"/>
        <w:gridCol w:w="151"/>
        <w:gridCol w:w="151"/>
        <w:gridCol w:w="219"/>
        <w:gridCol w:w="702"/>
        <w:gridCol w:w="146"/>
        <w:gridCol w:w="146"/>
        <w:gridCol w:w="211"/>
        <w:gridCol w:w="781"/>
        <w:gridCol w:w="146"/>
        <w:gridCol w:w="146"/>
        <w:gridCol w:w="211"/>
        <w:gridCol w:w="676"/>
        <w:gridCol w:w="394"/>
      </w:tblGrid>
      <w:tr>
        <w:trPr/>
        <w:tc>
          <w:tcPr>
            <w:tcW w:w="4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current and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(included in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during the period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included in deferred revenue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 obligations satisfied in previous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Revenue recognized from performance obligations satisfied in previous periods, as presented in the table above, was primarily attributable to Zolgensma and Itvisma royalties and changes in the transaction prices of the Company’s license agreements. Changes in transaction prices were primarily attributable to the achievement of development milestones, or the resolution of related uncertainties such that it became probable that a significant reversal of cumulative revenue would not occur if the development milestone consideration was included in the transaction price. These changes were recognized as cumulative catch-up adjustments to revenue. Revenue recognized during the three and six months ended June 30, 2026 included $100.0 million in cumulative catch-up adjustments for changes in the probability of achievement of development milestones, which was associated with a $100.0 million development milestone achieved under the Company's collaboration and license agreement with AbbVie. No cumulative catch-up adjustments for development milestones were recorded in revenue during the three and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recorded deferred revenue of $25.3 million which represents consideration received or unconditionally due from licensees and collaboration partners for performance obligations that have not yet been satisfied by the Company. Unsatisfied performance obligations as of June 30, 2026 consisted of (i) development services to be performed related to licensed products, which will be satisfied as the services are performed, and (ii) material rights granted to purchase commercial supply of licensed products, which will be satisfied upon delivery of the commercial supply. As of June 30, 2026, the aggregate transaction price of the Company’s license and collaboration agreements allocated to performance obligations not yet satisfied or partially satisfied was $27.4 million, primarily associated with development services under the Company's collaboration and license agreement with Nippon Shinyaku, the substantial majority of which is expected to be satisfied over a period of approximately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consisted of the following (in thousands):</w:t>
      </w:r>
    </w:p>
    <w:p>
      <w:pPr>
        <w:pStyle w:val="TextBody"/>
        <w:bidi w:val="0"/>
        <w:jc w:val="left"/>
        <w:rPr/>
      </w:pPr>
      <w:r>
        <w:rPr/>
        <w:t> </w:t>
      </w:r>
    </w:p>
    <w:tbl>
      <w:tblPr>
        <w:tblW w:w="7590" w:type="dxa"/>
        <w:jc w:val="left"/>
        <w:tblInd w:w="0" w:type="dxa"/>
        <w:tblLayout w:type="fixed"/>
        <w:tblCellMar>
          <w:top w:w="28" w:type="dxa"/>
          <w:left w:w="28" w:type="dxa"/>
          <w:bottom w:w="28" w:type="dxa"/>
          <w:right w:w="28" w:type="dxa"/>
        </w:tblCellMar>
      </w:tblPr>
      <w:tblGrid>
        <w:gridCol w:w="3936"/>
        <w:gridCol w:w="146"/>
        <w:gridCol w:w="239"/>
        <w:gridCol w:w="886"/>
        <w:gridCol w:w="146"/>
        <w:gridCol w:w="146"/>
        <w:gridCol w:w="357"/>
        <w:gridCol w:w="1143"/>
        <w:gridCol w:w="591"/>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Billed to AbbVie for development milestone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Billed to other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Novartis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Nippon Shinyaku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unbilled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Nippon Shinyaku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unbilled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Non-current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Zolgensma and Itvisma License with Novartis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March 2014, the Company entered into an exclusive license agreement (as amended, the Novartis License) with Novartis Innovative Technologies Inc. (formerly, Novartis Gene Therapies, Inc.), a wholly owned subsidiary of Novartis AG (Novartis). Under the Novartis License, the Company granted Novartis an exclusive, worldwide commercial license, with rights to sublicense, to the NAV Technology Platform, as well as other certain rights, for the treatment of spinal muscular atrophy (SMA) in humans by </w:t>
      </w:r>
      <w:r>
        <w:rPr>
          <w:rFonts w:ascii="Times New Roman" w:hAnsi="Times New Roman"/>
          <w:i/>
          <w:color w:val="000000"/>
          <w:sz w:val="20"/>
        </w:rPr>
        <w:t>in vivo</w:t>
      </w:r>
      <w:r>
        <w:rPr>
          <w:rFonts w:ascii="Times New Roman" w:hAnsi="Times New Roman"/>
          <w:color w:val="000000"/>
          <w:sz w:val="20"/>
        </w:rPr>
        <w:t xml:space="preserve"> gene therapy. In 2019, Novartis launched commercial sales of Zolgensma for the treatment of SMA in patients under the age of two years old. In the fourth quarter of 2025, Novartis launched commercial sales of Itvisma for the treatment of SMA in patients two years and older. Zolgensma and Itvisma are licensed products under the Novartis License, pursuant to which the Company receives royalties on certain net sales of the licensed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licensed patents for Zolgensma under the Novartis License expired in the United States. The Company is entitled to continued royalties on net sales of Zolgensma in approximately 20 countries where licensed patents remain active. Licensed product made prior to patent expiration but sold after expiration may also be subject to royalties. Licensed patents covering the use of Itvisma have issued in the United States and certain other countries, and the Company is entitled to ongoing royalties on certain net sales of Itvisma in these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the following amounts under the Novartis License (in thousands):</w:t>
      </w:r>
    </w:p>
    <w:p>
      <w:pPr>
        <w:pStyle w:val="TextBody"/>
        <w:bidi w:val="0"/>
        <w:jc w:val="left"/>
        <w:rPr/>
      </w:pPr>
      <w:r>
        <w:rPr/>
        <w:t> </w:t>
      </w:r>
    </w:p>
    <w:tbl>
      <w:tblPr>
        <w:tblW w:w="8195" w:type="dxa"/>
        <w:jc w:val="left"/>
        <w:tblInd w:w="0" w:type="dxa"/>
        <w:tblLayout w:type="fixed"/>
        <w:tblCellMar>
          <w:top w:w="28" w:type="dxa"/>
          <w:left w:w="28" w:type="dxa"/>
          <w:bottom w:w="28" w:type="dxa"/>
          <w:right w:w="28" w:type="dxa"/>
        </w:tblCellMar>
      </w:tblPr>
      <w:tblGrid>
        <w:gridCol w:w="3036"/>
        <w:gridCol w:w="146"/>
        <w:gridCol w:w="243"/>
        <w:gridCol w:w="659"/>
        <w:gridCol w:w="168"/>
        <w:gridCol w:w="168"/>
        <w:gridCol w:w="243"/>
        <w:gridCol w:w="781"/>
        <w:gridCol w:w="146"/>
        <w:gridCol w:w="146"/>
        <w:gridCol w:w="222"/>
        <w:gridCol w:w="603"/>
        <w:gridCol w:w="154"/>
        <w:gridCol w:w="154"/>
        <w:gridCol w:w="222"/>
        <w:gridCol w:w="713"/>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Zolgensma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Itvisma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license and 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8,893</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from licensing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and December 31, 2025, the Company had recorded total accounts receivable of $4.4 million and $24.1 million, respectively, from Novartis under the Novartis License, which consisted primarily of Zolgensma and Itvisma royalties receivable. Royalties receivable as of June 30, 2026 included $3.3 million expected to be paid to HCR in accordance with the 2020 Royalty Purchase Agreement discussed in Note 7. The Company recognizes royalty revenue from net sales of Zolgensma and Itvisma in the period in which the underlying products are sold by Novartis, which in certain cases may require the Company to estimate royalty revenue for periods of net sales which have not yet been reported to the Company. Estimated royalties are reconciled to actual amounts reported in subsequent periods, and any differences are recognized as an adjustment to royalty revenue in the period the royalties are reported.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Collaboration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AbbVie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the Company entered into a collaboration and license agreement with AbbVie to jointly develop and commercialize sura-vec (or ABBV-RGX-314), the Company’s product candidate for the treatment of wet AMD, DR and other chronic retinal diseases (as amended, the AbbVie Collaboration Agreement). The AbbVie Collaboration Agreement became effective in November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AbbVie Collaboration Agreement, the Company granted AbbVie a co-exclusive license to develop and commercialize sura-vec in the United States and an exclusive license to develop and commercialize sura-vec outside the United States. The Company and AbbVie will collaborate to develop sura-vec in the United States, and AbbVie will be responsible for the development of sura-vec in specified markets outside the United States. Global development expenses for sura-vec are shared by the parties in accordance with the AbbVie Collaboration Agreement, with AbbVie being responsible for the majority of total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will lead the manufacturing of sura-vec for clinical development and U.S. commercial supply, and AbbVie will lead the manufacturing of sura-vec for commercial supply outside the United States. Manufacturing expenses will be allocated between the parties in accordance with the terms of the AbbVie Collaboration Agreement and mutually agreed supply agreements. If requested by AbbVie, the Company will manufacture up to a specified portion of sura-vec commercial supply for sales outside the United States at a price specified in the agreement. AbbVie will lead the commercialization of sura-vec globally, and the Company will participate in U.S. commercialization efforts as provided under a commercialization plan determined in accordance with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agreement. The Company and AbbVie will share equally in the net profits and net losses associated with the commercialization of sura-vec in the United States. Outside the United States, AbbVie will be responsible, at its sole cost, for the commercialization of sura-vec.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consideration for the rights granted under the AbbVie Collaboration Agreement, AbbVie paid the Company an up-front fee of $370.0 million upon the effective date of the agreement in November 2021 and is required to pay to the Company up to $1.38 billion upon the achievement of specified development and sales-based milestones, of which $562.5 million are based on development milestones and $820.0 million are sales-based milestones. AbbVie is also required to pay to the Company tiered royalties on net sales of sura-vec outside the United States at percentages in the mid-teens to low twenties, subject to specified offsets and reductions.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the Company and AbbVie entered into an amendment to the AbbVie Collaboration Agreement which modified the development plan and milestone payment structure for the sura-vec DR program. Under the amendment, the Company will conduct the first registration enabling trial for DR suprachoroidal (SCS) treatment as a combined Phase IIb/III trial (NAAVIGATE) which will be performed in two parts (Part 1 and Part 2), and AbbVie will conduct the second registration enabling trial as a separate, standalone Phase III trial. In lieu of a $200.0 million development milestone payable to the Company under the original AbbVie Collaboration Agreement upon first patient dosed in the first registration enabling trial for DR SCS treatment, AbbVie will pay the Company $100.0 million upon first patient dosed in the NAAVIGATE trial (the First DR Milestone) and an additional $100.0 million upon first patient dosed in the subsequent Phase III trial (the Second DR Milestone). Also pursuant to the amendment, AbbVie will lead a new Phase III randomized controlled study (ACHIEVE) to assess the injection burden, adverse events, change in disease activity, and long-term preservation of visual acuity of sura-vec in adult participants with neovascular AMD. The Company will be responsible for its development expenses to conduct Part 1 of the NAAVIGATE trial and the parties will share the development expenses related to Part 2 of the NAAVIGATE trial and the subsequent Phase III trial for DR in accordance with the existing terms of the AbbVie Collaboration Agreement. AbbVie will be responsible for all development expenses related to the ACHIEVE study.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the Company dosed the first patient in the NAAVIGATE trial, resulting in a $100.0 million milestone payment due from AbbVie for achievement of the First DR Milestone. The $100.0 million milestone payment was recorded as accounts receivable as of June 30, 2026 and was received from AbbVie in July 2026.</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applied the requirements of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to the AbbVie Collaboration Agreement for the units of account in which AbbVie was deemed to be a customer. The Company determined that there is only one material performance obligation under the agreement for the delivery of the intellectual property license to develop and commercialize sura-vec globally. The intellectual property licensed to AbbVie includes the rights to certain patents, data, know-how and other rights developed and owned by the Company, as well as other intellectual property rights exclusively licensed by the Company from various third parties. As of June 30, 2026, the transaction price of the AbbVie Collaboration Agreement was $470.0 million, which consisted of (i) the $370.0 up-front payment received from AbbVie in November 2021 and (ii) the $100.0 million development milestone payment earned upon achievement of the First DR Milestone in June 2026, which was received from AbbVie in July 2026. As of June 30, 2026, variable consideration excluded from the transaction price of the AbbVie Collaboration Agreement includes $462.5 million in payments for development milestones that have not yet been achieved and were not considered probable of achievement. Additionally, the transaction price excludes sales-based milestone payments of $820.0 million and royalties on net sales of sura-vec outside the United States. Development milestones will be added to the transaction price and recognized as revenue upon achievement, or if deemed probable of achievement. In accordance with the sale- or usage-based royalty exception under ASC 606, royalties on net sales and sales-based milestones will be recognized as revenue in the period the underlying sales occur or milestones are achieved. The $470.0 million transaction price of the AbbVie Collaboration Agreement has been fully recognized as license and royalty revenue since the intellectual property licenses were delivered to AbbVie at the inception of the agreement in November 2021. The transaction price of the AbbVie Collaboration Agreement increased by $100.0 million during the three and six months ended June 30, 2026 as a result of the achievement of the First DR Milestone in June 2026, as the milestone payment was previously constrained and excluded from the transaction price. The $100.0 million increase in the transaction price was fully recognized as a cumulative catch-up adjustment to revenue upon the achievement of the First DR Milestone in June 2026. There were no changes in the transaction price of the AbbVie Collaboration Agreement, and no revenue was recognized, during the three and six months ended June 30, 2025.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applied the requirements of ASC 808, </w:t>
      </w:r>
      <w:r>
        <w:rPr>
          <w:rFonts w:ascii="Times New Roman" w:hAnsi="Times New Roman"/>
          <w:i/>
          <w:color w:val="000000"/>
          <w:sz w:val="20"/>
        </w:rPr>
        <w:t xml:space="preserve">Collaborative Arrangements </w:t>
      </w:r>
      <w:r>
        <w:rPr>
          <w:rFonts w:ascii="Times New Roman" w:hAnsi="Times New Roman"/>
          <w:color w:val="000000"/>
          <w:sz w:val="20"/>
        </w:rPr>
        <w:t xml:space="preserve">(ASC 808) to the AbbVie Collaboration Agreement for the units of account which were deemed to be a collaborative arrangement. Both the Company and AbbVie will perform various activities related to the development, manufacturing and commercialization of sura-vec in the United States. Development costs are shared between the parties in accordance with the terms of the AbbVie Collaboration Agreement, and the parties will share equally in the net profits and losses derived from sales of sura-vec in the United States. The Company accounts for payments to and from AbbVie for the sharing of development and commercialization costs in accordance with its accounting policy for collaborative arrangements. Amounts owed to AbbVie for the Company’s share of development costs or commercialization costs incurred by AbbVie are recorded as research and development expense or general and administrative expense, respectively,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 the costs are incurred. Amounts owed to the Company for AbbVie’s share of development costs or commercialization costs incurred by the Company are recorded as a reduction of research and development expense or general and administrative expense, respectively, in the period the costs are incurred. At the end of each reporting period, the Company records a net amount due to or from AbbVie as a result of the cost-sharing arrangement. As of June 30, 2026 and December 31, 2025, the Company had recorded $10.5 million and $10.9 million, respectively, due from AbbVie for net reimbursement of costs incurred for activities performed under the AbbVie Collaboration Agreement, which was included in other current assets on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the following amounts under the AbbVie Collaboration Agreement (in thousands):</w:t>
      </w:r>
    </w:p>
    <w:p>
      <w:pPr>
        <w:pStyle w:val="TextBody"/>
        <w:bidi w:val="0"/>
        <w:jc w:val="left"/>
        <w:rPr/>
      </w:pPr>
      <w:r>
        <w:rPr/>
        <w:t> </w:t>
      </w:r>
    </w:p>
    <w:tbl>
      <w:tblPr>
        <w:tblW w:w="10049" w:type="dxa"/>
        <w:jc w:val="left"/>
        <w:tblInd w:w="0" w:type="dxa"/>
        <w:tblLayout w:type="fixed"/>
        <w:tblCellMar>
          <w:top w:w="28" w:type="dxa"/>
          <w:left w:w="28" w:type="dxa"/>
          <w:bottom w:w="28" w:type="dxa"/>
          <w:right w:w="28" w:type="dxa"/>
        </w:tblCellMar>
      </w:tblPr>
      <w:tblGrid>
        <w:gridCol w:w="4486"/>
        <w:gridCol w:w="146"/>
        <w:gridCol w:w="212"/>
        <w:gridCol w:w="786"/>
        <w:gridCol w:w="167"/>
        <w:gridCol w:w="146"/>
        <w:gridCol w:w="212"/>
        <w:gridCol w:w="740"/>
        <w:gridCol w:w="166"/>
        <w:gridCol w:w="146"/>
        <w:gridCol w:w="211"/>
        <w:gridCol w:w="781"/>
        <w:gridCol w:w="166"/>
        <w:gridCol w:w="146"/>
        <w:gridCol w:w="211"/>
        <w:gridCol w:w="736"/>
        <w:gridCol w:w="5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cost reimbursement to (from) AbbVie included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cost reimbursement to (from) AbbVie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Nippon Shinyaku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entered into a collaboration and license agreement with Nippon Shinyaku for the development and commercialization of RGX-121, the Company’s product candidate for the treatment of MPS II, and RGX-111, the Company's product candidate for the treatment of MPS I (the Nippon Shinyaku Collaboration Agreement). The Nippon Shinyaku Collaboration Agreement became effective in March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Nippon Shinyaku Collaboration Agreement, the Company granted Nippon Shinyaku a license to develop and exclusively commercialize RGX-121 and RGX-111 in the United States and certain countries in Asia. The Company is responsible for the development of RGX-121 and RGX-111 in the United States, and Nippon Shinyaku is responsible for development in licensed territories outside the United States. The Company is responsible for the manufacturing of RGX-121 and RGX-111 for clinical development and commercial supply, and manufacturing expenses will be allocated between the parties in accordance with the terms of the Nippon Shinyaku Collaboration Agreement and mutually agreed supply agreements. Nippon Shinyaku will be responsible, at its sole cost, for the commercialization of RGX-121 and RGX-111 in the licensed territories. The Company reserves the right to develop and commercialize RGX-121 and RGX-111 in countries outside the licensed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consideration for the rights granted and services to be performed under the Nippon Shinyaku Collaboration Agreement, Nippon Shinyaku paid the Company an up-front fee of $110.0 million upon the effective date of the agreement in March 2025 and is required to pay to the Company up to $700.0 million upon the achievement of specified development and sales-based milestones, of which $40.0 million are based on development milestones and $660.0 million are sales-based milestones. Nippon Shinyaku is also required to pay to the Company double-digit royalties on net sales of RGX-121 and RGX-111 in the licensed territories, subject to specified offsets and reductions. The Company retains all rights to, and any proceeds related to the sale of, any priority review vouchers that may be issued upon the potential approvals of RGX-121 and RGX-111.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each of the distinct units of account identified under the Nippon Shinyaku Collaboration Agreement should be accounted for as revenue under ASC 606, as Nippon Shinyaku is deemed to be a customer for each of the various transactions. The Company identified the following material performance obligations under the agreement: (i) delivery of intellectual property licenses to develop and commercialize RGX-121 and RGX-111 in the United States and Asia territories, (ii) development services for RGX-121 and RGX-111 in the United States, including manufacturing of clinical supply and commercial supply prior to regulatory approval, and (iii) material rights granted to Nippon Shinyaku to purchase commercial supply for sales in licensed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transaction price of the Nippon Shinyaku Collaboration Agreement included fixed consideration of $110.0 million for the up-front payment and estimated variable consideration of $6.2 million for reimbursable costs of manufacturing and other services which are deemed not to be constrained. Variable consideration which has been excluded from the transaction price includes $40.0 million in payments for development milestones that have not yet been achieved and were not considered probable of achievement, and reimbursable costs of manufacturing and other services which are contingent on events occurring that are outside the Company’s control and are deemed to be constrained. The transaction price also excludes sales-based milestone payments of $660.0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million and royalties on net sales of RGX-121 and RGX-111 in the United States and Asia territories. Development milestones will be added to the transaction price upon achievement, or if deemed probable of achievement, and other variable consideration for manufacturing and other services may be added to the transaction price in the future as uncertainties regarding payment of the consideration are resolved. In accordance with the sale- or usage-based royalty exception under ASC 606, royalties on net sales and sales-based milestones will be recognized as revenue in the period the underlying sales occur or milestones are achieved. There were no changes in the fixed transaction price of the Nippon Shinyaku Collaboration Agreement during the three and six months ended June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fixed transaction price of the Nippon Shinyaku Collaboration Agreement of $110.0 million was allocated to the various performance obligations based on their relative standalone selling prices, which requires significant judgment. The $6.2 million of estimated variable consideration included in the transaction price is allocated directly to performance obligations for the manufacturing of commercial supply prior to regulatory approval and other service obligations since the consideration is directly associated with the performance of such services and reimbursement of applicable costs. Consideration contingent upon the future exercise of options to purchase commercial supply is excluded from the transaction price until exercised.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portion of the $110.0 million fixed transaction price allocated to the delivery of the intellectual property licenses was recognized as license and royalty revenue upon the delivery of the licenses to Nippon Shinyaku in March 2025. The portion of the fixed transaction price allocated to development services will be recognized as service revenue as the services are performed using an input method based on costs incurred versus total estimated costs to perform the services, which is re-assessed at each reporting date. The portion of the fixed transaction price allocated to material rights to purchase commercial supply will be recognized as revenue proportionally with the total expected commercial supply revenue expected to be recognized under the arrangement, which is re-assessed at each reporting date. Commercial supply revenue will be recognized as revenue upon delivery to Nippon Shinyaku, or otherwise upon transfer of control of commercial supply to Nippon Shinyaku as defined in the associated supply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the following amounts under the Nippon Shinyaku Collaboration Agreement (in thousands):</w:t>
      </w:r>
    </w:p>
    <w:p>
      <w:pPr>
        <w:pStyle w:val="TextBody"/>
        <w:bidi w:val="0"/>
        <w:jc w:val="left"/>
        <w:rPr/>
      </w:pPr>
      <w:r>
        <w:rPr/>
        <w:t> </w:t>
      </w:r>
    </w:p>
    <w:tbl>
      <w:tblPr>
        <w:tblW w:w="7577" w:type="dxa"/>
        <w:jc w:val="left"/>
        <w:tblInd w:w="0" w:type="dxa"/>
        <w:tblLayout w:type="fixed"/>
        <w:tblCellMar>
          <w:top w:w="28" w:type="dxa"/>
          <w:left w:w="28" w:type="dxa"/>
          <w:bottom w:w="28" w:type="dxa"/>
          <w:right w:w="28" w:type="dxa"/>
        </w:tblCellMar>
      </w:tblPr>
      <w:tblGrid>
        <w:gridCol w:w="2416"/>
        <w:gridCol w:w="146"/>
        <w:gridCol w:w="257"/>
        <w:gridCol w:w="697"/>
        <w:gridCol w:w="178"/>
        <w:gridCol w:w="178"/>
        <w:gridCol w:w="257"/>
        <w:gridCol w:w="697"/>
        <w:gridCol w:w="146"/>
        <w:gridCol w:w="146"/>
        <w:gridCol w:w="222"/>
        <w:gridCol w:w="603"/>
        <w:gridCol w:w="154"/>
        <w:gridCol w:w="154"/>
        <w:gridCol w:w="222"/>
        <w:gridCol w:w="713"/>
        <w:gridCol w:w="3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had recorded total accounts receivable of $2.5 million and $4.1 million, respectively, for reimbursement of manufacturing-related development costs and other services under the Nippon Shinyaku Collaboration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recorded total deferred revenue of $25.3 million for development services and material rights which have not yet been satisfied under the Nippon Shinyaku Collaboration Agreement, of which $9.9 million was included in current liabilities and $15.4 million was included in non-current liabilities. As of December 31, 2025, the Company had recorded total deferred revenue of $29.4 million for development services and material rights which have not yet been satisfied under the Nippon Shinyaku Collaboration Agreement, of which $10.5 million was included in current liabilities and $18.9 million was included in non-current liabilities.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common stock authorized for issuance under the 2025 Equity Incentive Plan (the 2025 Plan) upon its adoption in May 2025 was 5,500,000. The number of shares authorized for issuance under the 2025 Plan shall automatically increase for any shares of common stock underlying awards outstanding under the 2015 Equity Incentive Plan (the 2015 Plan), as of the adoption date of the 2025 Plan, which are not issued due to forfeiture, expiration, termination or cancellation of the award including, subject to shareholder approval at the 2026 Annual Meeting of Stockholders, an exchange of the award (to the extent that surrendered options exceed newly issued options in such exchange). Shares of common stock that are withheld, tendered, or otherwise not issued in connection with the settlement of awards outstanding under the 2015 Plan do not increase the number of shares authorized for issuance under the 2025 Plan. As of June 30, 2026, the total number of shares of common stock reserved for issuance under the 2025 Plan and 2015 Plan was 18,957,280, of which 3,826,446 remained available for future grants under the 2025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equity incentive plans provide for the issuance of stock options, stock appreciation rights, restricted and unrestricted stock and unit awards, and performance cash awards to employees, members of the Board of Directors and consultants of the Company. As of June 30, 2026, the Company has issued only stock options, restricted stock units (RSUs) and performance stock units (PSUs) under its equity plans. Stock options generally expire 10 years following the date of grant and typically vest over a four-year service period, but contractual terms and vesting provisions can vary by award based on the discretion of the Board of Directors. Stock options have an exercise price at least equal to the estimated fair value of the Company’s common stock on the date of grant. RSUs typically vest over a four-year service period, but vesting provisions can vary by award based on the discretion of the Board of Directors. In January 2026, the Company granted PSUs to certain executive employees. PSUs have similar terms and conditions as RSUs, except that vesting is contingent upon the achievement of specified performance conditions in addition to service conditions over a period of one year. Upon vesting, RSUs and PSUs are settled in common stock of the Company. Awards granted under the 2025 Plan generally have a minimum vesting requirement of one year from the grant date.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stock-based compensation expense by award type was as follows (in thousands):</w:t>
      </w:r>
    </w:p>
    <w:p>
      <w:pPr>
        <w:pStyle w:val="TextBody"/>
        <w:bidi w:val="0"/>
        <w:jc w:val="left"/>
        <w:rPr/>
      </w:pPr>
      <w:r>
        <w:rPr/>
        <w:t> </w:t>
      </w:r>
    </w:p>
    <w:tbl>
      <w:tblPr>
        <w:tblW w:w="7557" w:type="dxa"/>
        <w:jc w:val="left"/>
        <w:tblInd w:w="0" w:type="dxa"/>
        <w:tblLayout w:type="fixed"/>
        <w:tblCellMar>
          <w:top w:w="28" w:type="dxa"/>
          <w:left w:w="28" w:type="dxa"/>
          <w:bottom w:w="28" w:type="dxa"/>
          <w:right w:w="28" w:type="dxa"/>
        </w:tblCellMar>
      </w:tblPr>
      <w:tblGrid>
        <w:gridCol w:w="2596"/>
        <w:gridCol w:w="146"/>
        <w:gridCol w:w="257"/>
        <w:gridCol w:w="697"/>
        <w:gridCol w:w="178"/>
        <w:gridCol w:w="178"/>
        <w:gridCol w:w="257"/>
        <w:gridCol w:w="697"/>
        <w:gridCol w:w="146"/>
        <w:gridCol w:w="146"/>
        <w:gridCol w:w="211"/>
        <w:gridCol w:w="677"/>
        <w:gridCol w:w="146"/>
        <w:gridCol w:w="146"/>
        <w:gridCol w:w="211"/>
        <w:gridCol w:w="677"/>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the Company had $53.2 million of unrecognized stock-based compensation expense related to stock options, RSUs, PSUs and the 2015 Employee Stock Purchase Plan (the 2015 ESPP), which is expected to be recognized over a weighted-average period of 2.4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aggregate stock-based compensation expense in the consolidated statements of operations and comprehensive income (loss) as follows (in thousands):</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2311"/>
        <w:gridCol w:w="146"/>
        <w:gridCol w:w="257"/>
        <w:gridCol w:w="697"/>
        <w:gridCol w:w="178"/>
        <w:gridCol w:w="178"/>
        <w:gridCol w:w="257"/>
        <w:gridCol w:w="697"/>
        <w:gridCol w:w="146"/>
        <w:gridCol w:w="146"/>
        <w:gridCol w:w="211"/>
        <w:gridCol w:w="677"/>
        <w:gridCol w:w="146"/>
        <w:gridCol w:w="146"/>
        <w:gridCol w:w="211"/>
        <w:gridCol w:w="67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 option activity under the Company's equity incentive plans (in thousands, except per share data):</w:t>
      </w:r>
    </w:p>
    <w:p>
      <w:pPr>
        <w:pStyle w:val="TextBody"/>
        <w:bidi w:val="0"/>
        <w:jc w:val="left"/>
        <w:rPr/>
      </w:pPr>
      <w:r>
        <w:rPr/>
        <w:t> </w:t>
      </w:r>
    </w:p>
    <w:tbl>
      <w:tblPr>
        <w:tblW w:w="8754" w:type="dxa"/>
        <w:jc w:val="left"/>
        <w:tblInd w:w="0" w:type="dxa"/>
        <w:tblLayout w:type="fixed"/>
        <w:tblCellMar>
          <w:top w:w="28" w:type="dxa"/>
          <w:left w:w="28" w:type="dxa"/>
          <w:bottom w:w="28" w:type="dxa"/>
          <w:right w:w="28" w:type="dxa"/>
        </w:tblCellMar>
      </w:tblPr>
      <w:tblGrid>
        <w:gridCol w:w="3766"/>
        <w:gridCol w:w="146"/>
        <w:gridCol w:w="146"/>
        <w:gridCol w:w="676"/>
        <w:gridCol w:w="166"/>
        <w:gridCol w:w="146"/>
        <w:gridCol w:w="230"/>
        <w:gridCol w:w="625"/>
        <w:gridCol w:w="146"/>
        <w:gridCol w:w="146"/>
        <w:gridCol w:w="284"/>
        <w:gridCol w:w="707"/>
        <w:gridCol w:w="146"/>
        <w:gridCol w:w="146"/>
        <w:gridCol w:w="211"/>
        <w:gridCol w:w="676"/>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options and the fair value of the common stock for the options that were in the money at the dates reported.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grant date fair value per share of options granted during the six months ended June 30, 2026 was $6.94. During the six months ended June 30, 2026, the total number of stock options exercised was 247,717, resulting in total proceeds of $0.2 million. The number of stock options exercised during the period includes shares withheld to cover option cost and taxes. The total intrinsic value of options exercised during the six months ended June 30, 2026 was $0.1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Stock Option Exchange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3, 2026, the Company commenced an offer to exchange (the Offer to Exchange) certain eligible stock options held by eligible non-executive employees for replacement stock options under a voluntary stock option exchange program (the Stock Option Exchange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Stock Option Exchange Program, eligible employees were offered the opportunity to exchange outstanding stock options granted under the 2015 Plan that have an exercise price equal to or greater than $18.00 per share (Eligible Options), for a lesser number of replacement stock options to be granted under the 2025 Plan with an exercise price per share equal to the fair value of the Company’s common stock on the replacement option grant date (Replacement Options). The number of Replacement Options granted in exchange for Eligible Options surrendered shall be calculated based on specified exchange ratios which vary based on the grant date and exercise price of the Eligible Options. The exchange ratios were established in order to result in a fair value of the Replacement Options that was generally equal, on an aggregate basis, to the fair value of the Eligible Options surrendered.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Offer to Exchange expired on July 1, 2026. Pursuant to the terms and conditions of the Offer to Exchange, a total of 184 eligible employees elected to exchange a total of 1,940,394 Eligible Options with a weighted-average exercise price of $35.13 per share, representing approximately 67.0% of the total Eligible Options outstanding. On July 2, 2026, all Eligible Options that were tendered were cancelled and, in exchange therefore, the Company granted Replacement Options to purchase 775,401 shares of common stock with an exercise price of $13.28 per share, which was the closing price of the Company's common stock on July 2, 2026. The Replacement Options expire eight years from the grant date and are subject to new vesting schedules based on continued service over a period of two years from the grant date. Effective July 2, 2026, a total of 1,164,933 shares of common stock were added to the number of shares available for future grants under the 2025 Plan, which represents the total number of Eligible Options cancelled, less of the total number of Replacement Options granted, under the Stock Option Exchange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exchange of Eligible Options for Replacement Options under the Stock Option Exchange Program is expected to be accounted for as a modification of the Eligible Options in the third quarter of 2026. Since the Stock Option Program was designed as a value-for-value exchange, the Company does not expect the incremental stock-based compensation resulting from the modification of the awards to be material to the Company's consolidated financial statements. Any such incremental stock-based compensation resulting from the Stock Option Exchange will be recognized over the two-year vesting period of the Replacement Options.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RSU activity under the Company's equity incentive plans (in thousands, except per share data):</w:t>
      </w:r>
    </w:p>
    <w:p>
      <w:pPr>
        <w:pStyle w:val="TextBody"/>
        <w:bidi w:val="0"/>
        <w:jc w:val="left"/>
        <w:rPr/>
      </w:pPr>
      <w:r>
        <w:rPr/>
        <w:t> </w:t>
      </w:r>
    </w:p>
    <w:tbl>
      <w:tblPr>
        <w:tblW w:w="6203" w:type="dxa"/>
        <w:jc w:val="left"/>
        <w:tblInd w:w="0" w:type="dxa"/>
        <w:tblLayout w:type="fixed"/>
        <w:tblCellMar>
          <w:top w:w="28" w:type="dxa"/>
          <w:left w:w="28" w:type="dxa"/>
          <w:bottom w:w="28" w:type="dxa"/>
          <w:right w:w="28" w:type="dxa"/>
        </w:tblCellMar>
      </w:tblPr>
      <w:tblGrid>
        <w:gridCol w:w="3196"/>
        <w:gridCol w:w="146"/>
        <w:gridCol w:w="146"/>
        <w:gridCol w:w="571"/>
        <w:gridCol w:w="166"/>
        <w:gridCol w:w="146"/>
        <w:gridCol w:w="388"/>
        <w:gridCol w:w="1053"/>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total intrinsic value of RSUs vested during the six months ended June 30, 2026 was $11.2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Company granted PSUs to certain executive employees. Vesting of the PSUs is contingent upon the achievement of specified performance conditions pre-determined by the Board of Directors, as well as service conditions over a requisite service period. The performance conditions are based on certain specified business objectives and are non-market based. As determined by the Board of Directors, each performance condition that is achieved during the applicable performance period will result in the vesting of a specified number of PSUs one year from the grant date, subject to the grantee's continued service through the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expense for PSUs is measured based on the grant date fair value of the award, which is determined based on the fair value of the Company's stock on the grant date, and is recognized over the requisite service period beginning in the period it is probable that the performance conditions will be achieved. As of June 30, 2026, certain specified performance conditions were achieved or deemed probable of achievement but vesting of the associated PSUs remains subject to continued service conditions. No PSUs vested during the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PSU activity under the Company's equity incentive plans (in thousands, except per share data):</w:t>
      </w:r>
    </w:p>
    <w:p>
      <w:pPr>
        <w:pStyle w:val="TextBody"/>
        <w:bidi w:val="0"/>
        <w:jc w:val="left"/>
        <w:rPr/>
      </w:pPr>
      <w:r>
        <w:rPr/>
        <w:t> </w:t>
      </w:r>
    </w:p>
    <w:tbl>
      <w:tblPr>
        <w:tblW w:w="6022" w:type="dxa"/>
        <w:jc w:val="left"/>
        <w:tblInd w:w="0" w:type="dxa"/>
        <w:tblLayout w:type="fixed"/>
        <w:tblCellMar>
          <w:top w:w="28" w:type="dxa"/>
          <w:left w:w="28" w:type="dxa"/>
          <w:bottom w:w="28" w:type="dxa"/>
          <w:right w:w="28" w:type="dxa"/>
        </w:tblCellMar>
      </w:tblPr>
      <w:tblGrid>
        <w:gridCol w:w="3166"/>
        <w:gridCol w:w="146"/>
        <w:gridCol w:w="150"/>
        <w:gridCol w:w="436"/>
        <w:gridCol w:w="146"/>
        <w:gridCol w:w="146"/>
        <w:gridCol w:w="388"/>
        <w:gridCol w:w="105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total number of shares of common stock authorized for issuance under the 2015 ESPP was 1,426,994, of which 662,624 remained available for future issuance. During the six months ended June 30, 2026, 92,682 shares of common stock were issued under the 2015 ESPP.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the positive and negative evidence bearing upon the realizability of its deferred tax assets as of June 30, 2026 and December 31, 2025. Based on the Company’s history of operating losses, and other relevant facts and circumstances, the Company concluded that it was more likely than not that the benefit of its deferred tax assets will not be realized. Accordingly, the Company provided a full valuation allowance for its deferred tax assets as of June 30,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computations of basic and diluted net income (loss) per share were as follows (in thousands, except per share data):</w:t>
      </w:r>
    </w:p>
    <w:p>
      <w:pPr>
        <w:pStyle w:val="TextBody"/>
        <w:bidi w:val="0"/>
        <w:jc w:val="left"/>
        <w:rPr/>
      </w:pPr>
      <w:r>
        <w:rPr/>
        <w:t> </w:t>
      </w:r>
    </w:p>
    <w:tbl>
      <w:tblPr>
        <w:tblW w:w="10033" w:type="dxa"/>
        <w:jc w:val="left"/>
        <w:tblInd w:w="0" w:type="dxa"/>
        <w:tblLayout w:type="fixed"/>
        <w:tblCellMar>
          <w:top w:w="28" w:type="dxa"/>
          <w:left w:w="28" w:type="dxa"/>
          <w:bottom w:w="28" w:type="dxa"/>
          <w:right w:w="28" w:type="dxa"/>
        </w:tblCellMar>
      </w:tblPr>
      <w:tblGrid>
        <w:gridCol w:w="4316"/>
        <w:gridCol w:w="146"/>
        <w:gridCol w:w="224"/>
        <w:gridCol w:w="720"/>
        <w:gridCol w:w="155"/>
        <w:gridCol w:w="155"/>
        <w:gridCol w:w="224"/>
        <w:gridCol w:w="784"/>
        <w:gridCol w:w="166"/>
        <w:gridCol w:w="146"/>
        <w:gridCol w:w="211"/>
        <w:gridCol w:w="736"/>
        <w:gridCol w:w="166"/>
        <w:gridCol w:w="146"/>
        <w:gridCol w:w="211"/>
        <w:gridCol w:w="736"/>
        <w:gridCol w:w="791"/>
      </w:tblGrid>
      <w:tr>
        <w:trPr/>
        <w:tc>
          <w:tcPr>
            <w:tcW w:w="4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used in computation: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52,820</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used in computation: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3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Weighted-average diluted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periods in which the Company incurred net losses, common stock equivalents were excluded from the calculation of diluted net loss per share as their effect would be anti-dilutive. Accordingly, basic and diluted net loss per share were the same for such periods. The weighted-average number of common shares outstanding used in the basic and diluted net income (loss) per share calculations includes the weighted-average effect of pre-funded warrants to purchase shares of the Company's common stock, as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pre-funded warrants are exercisable at any time for nominal cash consideration. The following potentially dilutive common stock equivalents outstanding at the end of the period were excluded from the computations of weighted-average diluted common shares for the periods indicated as their effects would be anti-dilutive (in thousands):</w:t>
      </w:r>
    </w:p>
    <w:p>
      <w:pPr>
        <w:pStyle w:val="TextBody"/>
        <w:bidi w:val="0"/>
        <w:jc w:val="left"/>
        <w:rPr/>
      </w:pPr>
      <w:r>
        <w:rPr/>
        <w:t> </w:t>
      </w:r>
    </w:p>
    <w:tbl>
      <w:tblPr>
        <w:tblW w:w="7707" w:type="dxa"/>
        <w:jc w:val="left"/>
        <w:tblInd w:w="0" w:type="dxa"/>
        <w:tblLayout w:type="fixed"/>
        <w:tblCellMar>
          <w:top w:w="28" w:type="dxa"/>
          <w:left w:w="28" w:type="dxa"/>
          <w:bottom w:w="28" w:type="dxa"/>
          <w:right w:w="28" w:type="dxa"/>
        </w:tblCellMar>
      </w:tblPr>
      <w:tblGrid>
        <w:gridCol w:w="2746"/>
        <w:gridCol w:w="146"/>
        <w:gridCol w:w="170"/>
        <w:gridCol w:w="791"/>
        <w:gridCol w:w="170"/>
        <w:gridCol w:w="170"/>
        <w:gridCol w:w="170"/>
        <w:gridCol w:w="791"/>
        <w:gridCol w:w="146"/>
        <w:gridCol w:w="146"/>
        <w:gridCol w:w="156"/>
        <w:gridCol w:w="723"/>
        <w:gridCol w:w="156"/>
        <w:gridCol w:w="156"/>
        <w:gridCol w:w="156"/>
        <w:gridCol w:w="723"/>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2025 Warrants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15,364</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to the common stock equivalents in the table above, the computations of weighted-average diluted common shares for the three and six months ended June 30, 2026 exclude 122,565 unvested PSUs as of June 30, 2026 for which vesting is contingent upon the future achievement of performance conditions.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Company’s CODM, its Chief Executive Officer, views the Company’s operations and manages the business as one operating segment focused on the development and commercialization of gene therapies to treat an array of diseases. The determination of a single operating segment is consistent with the consolidated financial information regularly provided to the CODM.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reviews and evaluates consolidated net income (loss) for purposes of assessing performance, making operating decisions and allocating resources. The CODM uses net income (loss) to assess performance versus operating budgets and in the preparation of near-term and long-range operating plans to inform decisions on resource and capital allocation. The CODM reviews consolidated cash, cash equivalents and marketable securities as a measure of segment assets. As of June 30, 2026 and December 31, 2025, the Company’s cash, cash equivalents and marketable securities were $105.5 million and $240.9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about the Company's segment revenues, significant segment expenses regularly provided to the CODM, other segment items and consolidated net income (loss)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9"/>
        <w:gridCol w:w="746"/>
        <w:gridCol w:w="211"/>
        <w:gridCol w:w="781"/>
        <w:gridCol w:w="746"/>
        <w:gridCol w:w="746"/>
        <w:gridCol w:w="211"/>
        <w:gridCol w:w="736"/>
        <w:gridCol w:w="166"/>
        <w:gridCol w:w="146"/>
        <w:gridCol w:w="211"/>
        <w:gridCol w:w="781"/>
        <w:gridCol w:w="166"/>
        <w:gridCol w:w="146"/>
        <w:gridCol w:w="211"/>
        <w:gridCol w:w="781"/>
        <w:gridCol w:w="811"/>
      </w:tblGrid>
      <w:tr>
        <w:trPr/>
        <w:tc>
          <w:tcPr>
            <w:tcW w:w="26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108,019</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license and royalty revenues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Personnel</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18,921</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Direct development and support (a)</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26,924</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Facilities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research and development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Personnel</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general and administrative (b)</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9,078</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Facilities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general and administrative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 (c)</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income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22,709</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Direct development and support includes external goods and services for the development of product candidates and early-stage research activities, laboratory costs, consulting, development cost reimbursement to and from collaborators and other expenses in support of research and development activities.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general and administrative expenses include professional and administrative services, consulting, commercial cost reimbursement to and from collaborators and other corporate overhead expenses.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segment items include other operating expenses, interest income from licensing, investment income and interest expense.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interest income included interest income from licensing as presented in the consolidated statements of operations and comprehensive income (loss), as well as interest income from investments of $1.2 million and $3.2 million during the three and six months ended June 30, 2026, respectively, and $3.4 million and $5.9 million during the three and six months ended June 30, 2025, respectively, which is included within investment income in the consolidated statements of operations and comprehensive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substantial majority of the Company’s assets reside in the United States.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Supplemental Disclosures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consisted of the following (in thousands):</w:t>
      </w:r>
    </w:p>
    <w:p>
      <w:pPr>
        <w:pStyle w:val="TextBody"/>
        <w:bidi w:val="0"/>
        <w:jc w:val="left"/>
        <w:rPr/>
      </w:pPr>
      <w:r>
        <w:rPr/>
        <w:t> </w:t>
      </w:r>
    </w:p>
    <w:tbl>
      <w:tblPr>
        <w:tblW w:w="7680" w:type="dxa"/>
        <w:jc w:val="left"/>
        <w:tblInd w:w="0" w:type="dxa"/>
        <w:tblLayout w:type="fixed"/>
        <w:tblCellMar>
          <w:top w:w="28" w:type="dxa"/>
          <w:left w:w="28" w:type="dxa"/>
          <w:bottom w:w="28" w:type="dxa"/>
          <w:right w:w="28" w:type="dxa"/>
        </w:tblCellMar>
      </w:tblPr>
      <w:tblGrid>
        <w:gridCol w:w="4426"/>
        <w:gridCol w:w="146"/>
        <w:gridCol w:w="267"/>
        <w:gridCol w:w="858"/>
        <w:gridCol w:w="146"/>
        <w:gridCol w:w="146"/>
        <w:gridCol w:w="357"/>
        <w:gridCol w:w="1143"/>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external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current assets consisted of the following (in thousands):</w:t>
      </w:r>
    </w:p>
    <w:p>
      <w:pPr>
        <w:pStyle w:val="TextBody"/>
        <w:bidi w:val="0"/>
        <w:jc w:val="left"/>
        <w:rPr/>
      </w:pPr>
      <w:r>
        <w:rPr/>
        <w:t> </w:t>
      </w:r>
    </w:p>
    <w:tbl>
      <w:tblPr>
        <w:tblW w:w="6720" w:type="dxa"/>
        <w:jc w:val="left"/>
        <w:tblInd w:w="0" w:type="dxa"/>
        <w:tblLayout w:type="fixed"/>
        <w:tblCellMar>
          <w:top w:w="28" w:type="dxa"/>
          <w:left w:w="28" w:type="dxa"/>
          <w:bottom w:w="28" w:type="dxa"/>
          <w:right w:w="28" w:type="dxa"/>
        </w:tblCellMar>
      </w:tblPr>
      <w:tblGrid>
        <w:gridCol w:w="3466"/>
        <w:gridCol w:w="146"/>
        <w:gridCol w:w="267"/>
        <w:gridCol w:w="858"/>
        <w:gridCol w:w="146"/>
        <w:gridCol w:w="146"/>
        <w:gridCol w:w="357"/>
        <w:gridCol w:w="1143"/>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cost reimbursement due from AbbVie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7940" w:type="dxa"/>
        <w:jc w:val="left"/>
        <w:tblInd w:w="0" w:type="dxa"/>
        <w:tblLayout w:type="fixed"/>
        <w:tblCellMar>
          <w:top w:w="28" w:type="dxa"/>
          <w:left w:w="28" w:type="dxa"/>
          <w:bottom w:w="28" w:type="dxa"/>
          <w:right w:w="28" w:type="dxa"/>
        </w:tblCellMar>
      </w:tblPr>
      <w:tblGrid>
        <w:gridCol w:w="4486"/>
        <w:gridCol w:w="146"/>
        <w:gridCol w:w="267"/>
        <w:gridCol w:w="858"/>
        <w:gridCol w:w="146"/>
        <w:gridCol w:w="146"/>
        <w:gridCol w:w="357"/>
        <w:gridCol w:w="1143"/>
        <w:gridCol w:w="3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 and sublicense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and the notes thereto included in our Annual Report on Form 10-K for the year ended December 31, 2025, which we filed with the SEC on March 5, 2026. In addition, you should read the “Risk Factors” and “Information Regarding Forward-Looking Statements” sections of this Quarterly Report on Form 10-Q and our Annual Report on Form 10-K for the year ended December 31, 2025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Overview of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developed a broad pipeline of gene therapy programs using our proprietary adeno-associated virus (AAV) gene therapy delivery platform (NAV Technology Platform) as a one-time treatment to address an array of diseases. Our lead programs and product candidates are described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Sura-vec (ABBV-RGX-314)</w:t>
      </w:r>
    </w:p>
    <w:p>
      <w:pPr>
        <w:pStyle w:val="TextBody"/>
        <w:bidi w:val="0"/>
        <w:spacing w:before="120" w:after="283"/>
        <w:jc w:val="left"/>
        <w:rPr>
          <w:rFonts w:ascii="Times New Roman" w:hAnsi="Times New Roman"/>
          <w:sz w:val="20"/>
        </w:rPr>
      </w:pPr>
      <w:r>
        <w:rPr>
          <w:rFonts w:ascii="Times New Roman" w:hAnsi="Times New Roman"/>
          <w:color w:val="000000"/>
          <w:sz w:val="20"/>
        </w:rPr>
        <w:t>We are developing ABBV-RGX-314 (surabgene lomparvovec, sura-vec) in collaboration with AbbVie as a potential one-time treatment for chronic retinal conditions that cause total or partial vision loss, including wet age-related macular degeneration (wet AMD) and diabetic retinopathy (DR). In wet AMD, sura-vec is currently being evaluated in multiple clinical trials utilizing subretinal delivery, including two pivotal trials (ATMOSPHERE and ASCENT) where enrollment has been completed, one long-term follow-up study and a fellow eye sub-study. In DR, we are actively enrolling a pivotal, two-part Phase IIb/III study (NAAVIGATE) using suprachoroidal delivery. In addition to these late-stage pivotal programs, sura-vec is being evaluated in two Phase II clinical trials in patients with wet AMD (AAVIATE) and DR (ALTITUDE), which are ongoing along with two corresponding long-term follow-up studies, all utilizing in-office suprachoroidal delivery. Within the Phase II study in DR, we are also evaluating sura-vec in diabetic macular edema (DME). Sura-vec uses the NAV</w:t>
      </w:r>
      <w:r>
        <w:rPr>
          <w:rFonts w:ascii="Times New Roman" w:hAnsi="Times New Roman"/>
          <w:color w:val="000000"/>
          <w:sz w:val="13"/>
        </w:rPr>
        <w:t>®</w:t>
      </w:r>
      <w:r>
        <w:rPr>
          <w:rFonts w:ascii="Times New Roman" w:hAnsi="Times New Roman"/>
          <w:color w:val="000000"/>
          <w:sz w:val="20"/>
        </w:rPr>
        <w:t xml:space="preserve"> AAV8 vector to deliver a gene encoding a therapeutic antibody fragment to inhibit vascular endothelial growth factor (VEGF). We have licensed certain exclusive rights to the SCS Microinjector</w:t>
      </w:r>
      <w:r>
        <w:rPr>
          <w:rFonts w:ascii="Times New Roman" w:hAnsi="Times New Roman"/>
          <w:color w:val="000000"/>
          <w:sz w:val="13"/>
        </w:rPr>
        <w:t>®</w:t>
      </w:r>
      <w:r>
        <w:rPr>
          <w:rFonts w:ascii="Times New Roman" w:hAnsi="Times New Roman"/>
          <w:color w:val="000000"/>
          <w:sz w:val="20"/>
        </w:rPr>
        <w:t xml:space="preserve"> from Clearside Biomedical, Inc. (Clearside) to deliver gene therapy treatments to the suprachoroidal space of the eye.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Sura-vec for Treatment of Wet AMD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Subretinal Delivery</w:t>
      </w:r>
    </w:p>
    <w:p>
      <w:pPr>
        <w:pStyle w:val="TextBody"/>
        <w:bidi w:val="0"/>
        <w:spacing w:before="120" w:after="283"/>
        <w:jc w:val="left"/>
        <w:rPr>
          <w:rFonts w:ascii="Times New Roman" w:hAnsi="Times New Roman"/>
          <w:sz w:val="20"/>
        </w:rPr>
      </w:pPr>
      <w:r>
        <w:rPr>
          <w:rFonts w:ascii="Times New Roman" w:hAnsi="Times New Roman"/>
          <w:color w:val="000000"/>
          <w:sz w:val="20"/>
        </w:rPr>
        <w:t>ATMOSPHERE</w:t>
      </w:r>
      <w:r>
        <w:rPr>
          <w:rFonts w:ascii="Times New Roman" w:hAnsi="Times New Roman"/>
          <w:color w:val="000000"/>
          <w:sz w:val="13"/>
        </w:rPr>
        <w:t>®</w:t>
      </w:r>
      <w:r>
        <w:rPr>
          <w:rFonts w:ascii="Times New Roman" w:hAnsi="Times New Roman"/>
          <w:color w:val="000000"/>
          <w:sz w:val="20"/>
        </w:rPr>
        <w:t xml:space="preserve"> and ASCENT</w:t>
      </w:r>
      <w:r>
        <w:rPr>
          <w:rFonts w:ascii="Times New Roman" w:hAnsi="Times New Roman"/>
          <w:color w:val="000000"/>
          <w:sz w:val="13"/>
        </w:rPr>
        <w:t xml:space="preserve">® </w:t>
      </w:r>
      <w:r>
        <w:rPr>
          <w:rFonts w:ascii="Times New Roman" w:hAnsi="Times New Roman"/>
          <w:color w:val="000000"/>
          <w:sz w:val="20"/>
        </w:rPr>
        <w:t>are multi-center, randomized, active-controlled trials evaluating sura-vec versus ranibizumab and aflibercept, respectively. The primary endpoint is non-inferiority based on change from baseline in best-corrected visual acuity (BCVA) at 54 weeks and one year, respectively. Secondary endpoints include safety and tolerability, change in central retinal thickness (CRT) and need for supplemental anti-VEGF injections in the treatment arms.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Enrollment in the ATMOSPHERE and ASCENT pivotal trials for the treatment of patients with wet AMD using subretinal delivery was completed in October 2025. These trials, which together enrolled over 1,200 participants across more than 200 sites, are expected to support global regulatory submissions including with the U.S. Food and Drug Administration (FDA) and the European Medicines Agency (EMA). Topline data from these trials are expected to be announced in the fourth quarter of 2026 in partnership with AbbVie, with global regulatory submissions expected in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2026, we presented long-term follow-up data from the Phase I/IIa trial that demonstrated a durable safety and efficacy profile through five years, with participants in Cohorts 3 and 4, who received subretinal sura-vec at doses similar to those being studied in the ATMOSPHERE and ASCENT pivotal trials, demonstrating stable to improved visual acuity and meaningful reductions in anti-VEGF treatment burden, with the exception of one participant in Cohort 4 with polypoidal choroidal vasculopathy refractory to anti-VEGF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Suprachoroidal Delivery</w:t>
      </w:r>
    </w:p>
    <w:p>
      <w:pPr>
        <w:pStyle w:val="TextBody"/>
        <w:bidi w:val="0"/>
        <w:spacing w:before="120" w:after="283"/>
        <w:jc w:val="left"/>
        <w:rPr>
          <w:rFonts w:ascii="Times New Roman" w:hAnsi="Times New Roman"/>
          <w:sz w:val="20"/>
        </w:rPr>
      </w:pPr>
      <w:r>
        <w:rPr>
          <w:rFonts w:ascii="Times New Roman" w:hAnsi="Times New Roman"/>
          <w:color w:val="000000"/>
          <w:sz w:val="20"/>
        </w:rPr>
        <w:t>The AAVIATE</w:t>
      </w:r>
      <w:r>
        <w:rPr>
          <w:rFonts w:ascii="Times New Roman" w:hAnsi="Times New Roman"/>
          <w:color w:val="000000"/>
          <w:sz w:val="13"/>
        </w:rPr>
        <w:t>®</w:t>
      </w:r>
      <w:r>
        <w:rPr>
          <w:rFonts w:ascii="Times New Roman" w:hAnsi="Times New Roman"/>
          <w:color w:val="000000"/>
          <w:sz w:val="20"/>
        </w:rPr>
        <w:t xml:space="preserve"> trial is a multi-center, open label, randomized, controlled, dose-escalation Phase II trial to evaluate the efficacy, safety and tolerability of suprachoroidal delivery of sura-vec for the treatment of wet AMD. Based on the favorable safety profile observed as of July 29, 2024, the Phase II AAVIATE trial enrolled a cohort to evaluate sura-vec at dose level 4 (1.5x10e12 GC/eye). Patients in this cohort received short course prophylactic steroid eye drops. Enrollment of the AAVIATE trial has been completed.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Sura-vec for Treatment of DR and DME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we and AbbVie announced an amendment to our collaboration agreement and plans to initiate a pivotal program consisting of a Phase IIb/III trial (NAAVIGATE) as well as a second Phase III trial. NAAVIGATE is a two-part, multicenter, randomized, masked, sham-controlled Phase IIb/III study to evaluate the safety and efficacy of a one-time, in-office administration of sura-vec in subjects with non-proliferative diabetic retinopathy (NPDR) without center-involved diabetic macular edema (CI-DME). The primary endpoint is &gt;2-step improvement on the Diabetic Retinopathy Severity Scale (DRSS) at one year. We are actively enrolling the Phase IIb/III NAAVIGATE trial and, in June 2026, dosed the first patient in the Phase IIb portion of the trial, upon which we earned a $100.0 million milestone payment that was received from AbbVie in July 2026. Following an interim analysis of part one (Phase IIb) of the NAAVIGATE trial, we and AbbVie expect to initiate a Phase III expansion, including part two (Phase III) of the U.S. NAAVIGATE trial and a parallel global trial led by AbbVie.</w:t>
      </w:r>
    </w:p>
    <w:p>
      <w:pPr>
        <w:pStyle w:val="TextBody"/>
        <w:bidi w:val="0"/>
        <w:spacing w:before="240" w:after="283"/>
        <w:jc w:val="left"/>
        <w:rPr>
          <w:rFonts w:ascii="Times New Roman" w:hAnsi="Times New Roman"/>
          <w:sz w:val="20"/>
        </w:rPr>
      </w:pPr>
      <w:r>
        <w:rPr>
          <w:rFonts w:ascii="Times New Roman" w:hAnsi="Times New Roman"/>
          <w:color w:val="000000"/>
          <w:sz w:val="20"/>
        </w:rPr>
        <w:t>Concurrent with the August 2025 announcement, we announced positive two-year data from the Phase II ALTITUDE</w:t>
      </w:r>
      <w:r>
        <w:rPr>
          <w:rFonts w:ascii="Times New Roman" w:hAnsi="Times New Roman"/>
          <w:color w:val="000000"/>
          <w:sz w:val="13"/>
        </w:rPr>
        <w:t>®</w:t>
      </w:r>
      <w:r>
        <w:rPr>
          <w:rFonts w:ascii="Times New Roman" w:hAnsi="Times New Roman"/>
          <w:color w:val="000000"/>
          <w:sz w:val="20"/>
        </w:rPr>
        <w:t xml:space="preserve"> trial. The ALTITUDE trial is a multi-center, open label, randomized, controlled, dose-escalation Phase II trial to evaluate the efficacy, safety and tolerability of sura-vec using suprachoroidal delivery for the treatment of DR. The positive two-year data showed sura-vec was well tolerated in subjects with NPDR at dose levels 1, 2, and 3. There were no drug-related serious adverse events and no intraocular inflammation was observed through two years at dose level 3 (1.0x10</w:t>
      </w:r>
      <w:r>
        <w:rPr>
          <w:rFonts w:ascii="Times New Roman" w:hAnsi="Times New Roman"/>
          <w:color w:val="000000"/>
          <w:sz w:val="13"/>
        </w:rPr>
        <w:t>12</w:t>
      </w:r>
      <w:r>
        <w:rPr>
          <w:rFonts w:ascii="Times New Roman" w:hAnsi="Times New Roman"/>
          <w:color w:val="000000"/>
          <w:sz w:val="20"/>
        </w:rPr>
        <w:t xml:space="preserve"> GC/eye) (n = 15) with short-course topical prophylactic steroids. Additionally, 50% of dose level 3 patients achieved at least a two-step improvement without need for any supplemental treatment.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2026, we presented long-term follow-up data from the Phase II ALTITUDE trial that showed, among other findings, that participants at dose level 3 (1.0×10¹² GC/eye) with short-course prophylactic topical steroids, the same dose being evaluated in the Phase IIb/III NAAVIGATE trial, maintained a durable safety and efficacy profile through 2.5 years. 55% of participants achieved &gt;2-step improvement on the DRSS without additional treatment, and 70% of participants experienced no vision-threatening events. These data are consistent with previously presented two-year dose level 3 NPDR data from the ALTITUDE trial and support the potential of one-time in-office sura-vec to modify the underlying disease and decrease risk of vision-threatening events.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RGX-202 for Treatment of Duchenne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RGX-202 as an investigational AAV therapeutic for the treatment of Duchenne muscular dystrophy (Duchenne), using the NAV AAV8 vector to deliver a transgene for a novel microdystrophin that includes the functional elements of the C-Terminal domain as well as a muscle-specific promoter to support a targeted therapy for improved resistance to muscle damage associated with Duchenne. Other differentiating elements of RGX-202 include the proactive immune suppression regimen and in-house, state-of-the-art manufacturing that has demonstrated leading purity levels in Duchenne (&gt;80% full capsids). </w:t>
      </w:r>
    </w:p>
    <w:p>
      <w:pPr>
        <w:pStyle w:val="TextBody"/>
        <w:bidi w:val="0"/>
        <w:spacing w:before="240" w:after="283"/>
        <w:jc w:val="left"/>
        <w:rPr>
          <w:rFonts w:ascii="Times New Roman" w:hAnsi="Times New Roman"/>
          <w:sz w:val="20"/>
        </w:rPr>
      </w:pPr>
      <w:r>
        <w:rPr>
          <w:rFonts w:ascii="Times New Roman" w:hAnsi="Times New Roman"/>
          <w:color w:val="000000"/>
          <w:sz w:val="20"/>
        </w:rPr>
        <w:t>AFFINITY DUCHENNE</w:t>
      </w:r>
      <w:r>
        <w:rPr>
          <w:rFonts w:ascii="Times New Roman" w:hAnsi="Times New Roman"/>
          <w:color w:val="000000"/>
          <w:sz w:val="13"/>
        </w:rPr>
        <w:t>®</w:t>
      </w:r>
      <w:r>
        <w:rPr>
          <w:rFonts w:ascii="Times New Roman" w:hAnsi="Times New Roman"/>
          <w:color w:val="000000"/>
          <w:sz w:val="20"/>
        </w:rPr>
        <w:t xml:space="preserve"> is an ongoing multicenter, open-label Phase I/II/III trial to evaluate the safety, tolerability and clinical efficacy of a one-time intravenous dose of RGX-202 in ambulatory patients with Duchenne aged 1 to 11 years old. Phase I/II results, reported between November 2024 and March 2026, demonstrated RGX-202 to be well tolerated with no serious adverse events or adverse events of special interest among all patients (n=13). Additionally, we reported positive biomarker data showing consistent, high expression and transduction of RGX-202 microdystrophin, with all patients exceeding 10%. Pivotal dose (2x10</w:t>
      </w:r>
      <w:r>
        <w:rPr>
          <w:rFonts w:ascii="Times New Roman" w:hAnsi="Times New Roman"/>
          <w:color w:val="000000"/>
          <w:sz w:val="13"/>
        </w:rPr>
        <w:t>14</w:t>
      </w:r>
      <w:r>
        <w:rPr>
          <w:rFonts w:ascii="Times New Roman" w:hAnsi="Times New Roman"/>
          <w:color w:val="000000"/>
          <w:sz w:val="20"/>
        </w:rPr>
        <w:t xml:space="preserve"> GC/kg) participants in the Phase I/II exceeded expected disease trajectory on the North Star Ambulatory Assessment (NSAA) and other timed function tests at one year using multiple validated methods to estimate expected disease progression without treatment (n=7). Notably, five participants for whom functional data has been reported were aged eight or older at dosing, when functional decline is expected.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we announced that enrollment had completed in the pivotal portion of AFFINITY DUCHENNE (n=approximately 30).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2026, we announced positive topline results from the pivotal Phase III AFFINITY DUCHENNE trial of RGX-202, including primary endpoint (n=30 at Week 12), interim safety (n=31) and interim functional data (n=9 at 12 months):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primary endpoint was achieved with high statistical significance; 93% of patients achieved RGX-202 microdystrophin expression above 10%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RGX-202 was well-tolerated and continued to demonstrate a favorable interim safety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RGX-202 demonstrated functional improvement and evidence of positively impacting disease trajectory at one year post-treatment, as measured by NSAA and timed function tests (Time to Stand, 10 Meter Walk-run, Time to Climb).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Statistically significant correlation between RGX-202 microdystrophin expression level and functional improvement, supporting validity of surrogate endpoint.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May 2026, in recent discussions, the FDA shared that the use of RGX-202 microdystrophin expression as a surrogate endpoint will be based on the correlation analysis with clinical outcomes, which has been clearly demonstrated in our interim data. While the FDA has recommended a randomized controlled trial, it has guided that externally controlled trials may be adequate for demonstrating substantial evidence of effectiveness, especially when the treatment effect is sufficiently large enough to overcome limitations of externally controlled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positive topline pivotal data, continued favorable safety profile, and statistically significant correlation between microdystrophin and functional improvement, we plan to initiate a Biologics License Application (BLA) submission in the third quarter of 2026 under the accelerated approval pathway to support potential FDA approval in the second half of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we announced we had completed dosing in the confirmatory study of RGX-202 and our plan to include in our planned BLA a safety dataset from the AFFINITY DUCHENNE pivotal and confirmatory studies (n=63) as well as efficacy data from the pivotal portion (n=30), including 12-month functional data for at least half of the total participants in the pivotal study.</w:t>
      </w:r>
    </w:p>
    <w:p>
      <w:pPr>
        <w:pStyle w:val="TextBody"/>
        <w:bidi w:val="0"/>
        <w:spacing w:before="240" w:after="283"/>
        <w:jc w:val="left"/>
        <w:rPr>
          <w:rFonts w:ascii="Times New Roman" w:hAnsi="Times New Roman"/>
          <w:sz w:val="20"/>
        </w:rPr>
      </w:pPr>
      <w:r>
        <w:rPr>
          <w:rFonts w:ascii="Times New Roman" w:hAnsi="Times New Roman"/>
          <w:color w:val="000000"/>
          <w:sz w:val="20"/>
        </w:rPr>
        <w:t>We expect to initiate AFFINITY</w:t>
      </w:r>
      <w:r>
        <w:rPr>
          <w:rFonts w:ascii="Times New Roman" w:hAnsi="Times New Roman"/>
          <w:color w:val="000000"/>
          <w:sz w:val="13"/>
        </w:rPr>
        <w:t xml:space="preserve">® </w:t>
      </w:r>
      <w:r>
        <w:rPr>
          <w:rFonts w:ascii="Times New Roman" w:hAnsi="Times New Roman"/>
          <w:color w:val="000000"/>
          <w:sz w:val="20"/>
        </w:rPr>
        <w:t>RISE, a new, ex-U.S. randomized, placebo-controlled study to support RGX-202 global regulatory submissions, in the first half of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completed manufacturing the first batches of RGX-202 intended for commercial supply and manufacturing is ongoing to build commercial inventory in advance of a potential commercial launch. The process performance qualification (PPQ) campaign is also complete. </w:t>
      </w:r>
    </w:p>
    <w:p>
      <w:pPr>
        <w:pStyle w:val="TextBody"/>
        <w:bidi w:val="0"/>
        <w:spacing w:before="240" w:after="283"/>
        <w:jc w:val="left"/>
        <w:rPr>
          <w:rFonts w:ascii="Times New Roman" w:hAnsi="Times New Roman"/>
          <w:sz w:val="20"/>
        </w:rPr>
      </w:pPr>
      <w:r>
        <w:rPr>
          <w:rFonts w:ascii="Times New Roman" w:hAnsi="Times New Roman"/>
          <w:color w:val="000000"/>
          <w:sz w:val="20"/>
        </w:rPr>
        <w:t>We are also recruiting patients in the AFFINITY BEYOND</w:t>
      </w:r>
      <w:r>
        <w:rPr>
          <w:rFonts w:ascii="Times New Roman" w:hAnsi="Times New Roman"/>
          <w:color w:val="000000"/>
          <w:sz w:val="13"/>
        </w:rPr>
        <w:t>®</w:t>
      </w:r>
      <w:r>
        <w:rPr>
          <w:rFonts w:ascii="Times New Roman" w:hAnsi="Times New Roman"/>
          <w:color w:val="000000"/>
          <w:sz w:val="20"/>
        </w:rPr>
        <w:t xml:space="preserve"> trial, an observational screening study. The primary objective is to evaluate the prevalence of AAV8 antibodies in patients with Duchenne up to 12 years of age. Information collected in this study may be used to identify potential participants for the AFFINITY DUCHENNE trial and potential future trials of RGX-202.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RGX-121 for Treatment of MPS 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RGX-121 (clemidsogene lanparvovec) in collaboration with Nippon Shinyaku in the United States and certain countries in Asia as an investigational one-time AAV therapeutic for the treatment of Mucopolysaccharidosis Type II (MPS II), also known as Hunter syndrome, using the NAV AAV9 vector to deliver the gene that encodes the iduronate-2-sulfatase enzyme.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BLA for RGX-121 seeking accelerated approval was submitted to the FDA in March 2025. The FDA subsequently granted priority review of the BLA and successfully completed mid-cycle meeting, Pre-license inspection (PLI) and Bioresearch monitoring information (BIMO) inspections. The PLI and BIMO inspections were completed with no observations. In August 2025, we announced that the FDA review timeline had been extended following submission of 12-month clinical data for all patients in the pivotal study of RGX-121 (n=13) in response to an FDA information request.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longer-term data submitted to the FDA were presented at the International Congress of Inborn Errors of Metabolism (ICIEM) in September 2025. These results showed that in the pivotal phase of the CAMPSIITE trial (n=13), participants through one year sustained an 82% median reduction of cerebrospinal fluid (CSF) levels of HS D2S6. These longer-term data were consistent with previously reported topline pivotal results from the CAMPSIITE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Prescription Drug User Fee Act (PDUFA) goal date was extended from November 9, 2025 to February 8, 2026. In January 2026, we announced that the FDA placed the RGX-121 program on partial clinical hold in relation to a serious adverse event in a patient treated in the Phase I/II trial of RGX-111, discussed in further detail below. The FDA cited the similarities in products, study populations, and shared risk between the clinical studies. The partial clinical hold on RGX-121 was lifted by the FDA on April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2026, we announced that the FDA issued a Complete Response Letter (CRL) for the RGX-121 BLA. The FDA stated in the CRL that it had agreed to the study protocol in principle and outlined several reasons for not approving the gene therapy, including uncertainty regarding the study eligibility criteria to adequately define a population with neuronopathic disease (vs. attenuated disease), the comparability of the natural history external control to the study population, and the appropriateness of CSF HS D2S6 as a surrogate endpoint reasonably likely to predict clinical benefit. The CRL lists several potential paths forward, including a new study, treating additional patients and conducting longer-term follow up, and using an untreated control arm. Throughout active discussions during the BLA process, we believed we had addressed the points raised in the CRL through the submission of additional data and responses to numerous information requests. The FDA did not agree the data set provided substantial evidence of effectiveness to support approval of RGX-121 for the treatment of MPS II.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the CRL, we entered into discussions with FDA senior leadership in March 2026 and filed a Formal Dispute Resolution Request.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we announced alignment with the FDA regarding the next steps needed for a potential accelerated approval of RGX-121. During those discussions, the FDA acknowledged that the existing RGX-121 clinical data is sufficient to be considered for the accelerated approval pathway and that the Company does not need to enroll additional patients or conduct additional studies, including the FDA’s previously recommended incorporation of an untreated control arm. The FDA asked the Company to request a Type A meeting to review existing longer-term biomarker and clinical data and to resubmit the BLA following this meeting. The FDA stated that it would review our resubmission on an expedited basis, with labeling discussions to begin shortly following the resubmission.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2026, we and the FDA held a positive Type A meeting during which the FDA reaffirmed that no additional studies of RGX-121 are required for BLA resubmission. We and the FDA aligned on resubmission requirements and we plan to resubmit the RGX-121 BLA in the third quarter of 2026. The resubmission will include longer-term efficacy and safety data, including participant imaging that has been submitted to FDA and continues to be collected and analyzed as part of ongoing RGX-121 safety monitoring. A post-approval confirmatory study will be discussed as part of BLA review.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 approval of the BLA for RGX-121 could result in receipt of a Rare Pediatric Disease Priority Review Voucher (PRV), assuming the statutory criteria are met. If approved, RGX-121 would be the first approved gene therapy and one-time treatment for MPS II.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RGX-111 for Treatment of MPS 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RGX-111 in collaboration with Nippon Shinyaku in the United States and certain countries in Asia as an investigational one-time AAV therapeutic for the treatment of Mucopolysaccharidosis Type I (MPS I), also known as Hurler syndrome, using the NAV AAV9 vector to deliver the IDUA gene.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future development of RGX-111 was halted as a result of a strategic pipeline prioritization and corporate restructuring. Prior to that announcement, RGX-111 demonstrated to be well tolerated in interim results and indicated encouraging biomarker and neurodevelopmental results in a Phase I/II study. Efforts to continue development of RGX-111 as part of the strategic partnership with Nippon Shinyaku are ongoing.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we announced that the FDA placed the RGX-111 program on partial clinical hold following preliminary analysis of a single case of neoplasm (intraventricular CNS tumor) in a participant treated in the Phase I/II study. The case was identified during a routine brain MRI of an asymptomatic five-year-old participant who received intracisternal RGX-111 four years prior. Preliminary genetic analysis of the resected tumor detected an AAV vector genome integration event associated with overexpression of a proto-oncogene (PLAG1), which is known to be susceptible to chromosomal rearrangements. Final analysis of the resected tumor was conducted by an independent third-party lab and, as previously reported, detected an AAV vector genome integration event associated with overexpression of a PLAG1. Clonal integration of AAV vector elements into the PLAG1 gene was detected in the tumor tissue. Analyses supported classification as a PLAG1</w:t>
        <w:noBreakHyphen/>
        <w:t xml:space="preserve">family neuroepithelial tumor and are consistent with the hypothesis that AAV vector integration at the PLAG1 site contributed to tumor formation. Of note, this participant had a background of factors that could have contributed to risk of oncogenic transformation. For example, the participant underwent unsuccessful stem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cell transplant at four months of age, with loss of donor chimerism, and he received chemotherapeutics that may have contributed to DNA damage. The report concluded, based on formal neuropsychologic testing and developmental pediatrician assessment, that the patient’s neurocognitive development was above average, which indicated mitigation of MPS I disease, and the patient continued to do well. The analysis was published in The New England Journal of Medicine in May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AbbVie Collaboration for Sura-vec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we entered into a collaboration and license agreement with AbbVie Global Enterprises Ltd. (AbbVie), a subsidiary of AbbVie Inc., to jointly develop and commercialize sura-vec (as amended, the AbbVie Collaboration Agreement). Pursuant to the AbbVie Collaboration Agreement, both we and AbbVie are active participants in the development of sura-vec and development expenses are shared between the parties in accordance with the agreement. The Company will lead the manufacturing of sura-vec for clinical development and U.S. commercial supply, and AbbVie will lead the global commercialization of sura-vec. We received an up-front fee of $370.0 million from AbbVie upon the effective date of the AbbVie Collaboration Agreement in November 2021, and we are eligible to receive up to $1.38 billion from AbbVie upon the achievement of specified development and sales-based milestones. Additionally, the parties will share equally in the net profits and net losses associated with the commercialization of sura-vec in the United States, and we are eligible to receive tiered royalties on net sales by AbbVie of sura-vec outside the United States. For additional information regarding the AbbVie Collaboration Agreement, please refer to Note 10, “License and Collaboration Agreements—AbbVie Collaboration and License Agreement” to the accompanying unaudited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we dosed the first patient in the NAAVIGATE trial, resulting in a $100.0 million development milestone payment from AbbVie which was fully recognized as license and royalty revenue in the second quarter of 2026. The $100.0 million milestone payment was recorded as accounts receivable as of June 30, 2026 and was received from AbbVie in July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Nippon Shinyaku Collaboration for RGX-121 and RGX-111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we entered into a collaboration and license agreement with Nippon Shinyaku Co., Ltd. (Nippon Shinyaku) for the development and commercialization of RGX-121 and RGX-111 (the Nippon Shinyaku Collaboration Agreement) in the United States and certain countries in Asia. Pursuant to the Nippon Shinyaku Collaboration Agreement, we are responsible for the development of RGX-121 and RGX-111 in the United States, and Nippon Shinyaku is responsible for development in licensed territories outside the United States. We are responsible for the manufacturing of RGX-121 and RGX-111 for clinical development and commercial supply, and manufacturing expenses will be allocated between the parties in accordance with the terms of the Nippon Shinyaku Collaboration Agreement. Nippon Shinyaku is responsible, at its sole cost, for the commercialization of RGX-121 and RGX-111 in the licensed territories. Under the terms of the Nippon Shinyaku Collaboration Agreement, we received an up-front payment of $110.0 million from Nippon Shinyaku following the effective date of the agreement in March 2025 and are eligible to receive up to $700.0 million from Nippon Shinyaku upon the achievement of specified development and sales-based milestones. We are also eligible to receive double-digit royalties on net sales of RGX-121 and RGX-111 by Nippon Shinyaku, subject to specified offsets and reductions. We retain all rights to, and any proceeds related to the sale of, any priority review vouchers that may be issued upon the potential approvals of RGX-121 and RGX-111. For additional information regarding the Nippon Shinyaku Collaboration Agreement, please refer to Note 10, “License and Collaboration Agreements—Nippon Shinyaku Collaboration and License Agreement” to the accompanying unaudited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we entered into a loan agreement with entities managed by Healthcare Royalty Management, LLC (collectively and with other affiliated entities, HCR). Pursuant to the terms of the loan agreement, future royalties, sales-based milestone payments and certain development milestone payments earned under the Nippon Shinyaku Collaboration Agreement, along with consideration earned under various other NAV Technology Platform license agreements, shall be used to repay principal and interest owed to HCR. For additional information regarding the May 2025 loan agreement with HCR, please refer to Note 7, “Royalty Monetization Liabilities—2025 Royalty Bond” to the accompanying unaudited consolidated financial statements.</w:t>
      </w:r>
    </w:p>
    <w:p>
      <w:pPr>
        <w:pStyle w:val="TextBody"/>
        <w:bidi w:val="0"/>
        <w:spacing w:before="360" w:after="283"/>
        <w:jc w:val="left"/>
        <w:rPr>
          <w:rFonts w:ascii="Times New Roman" w:hAnsi="Times New Roman"/>
          <w:sz w:val="20"/>
        </w:rPr>
      </w:pPr>
      <w:r>
        <w:rPr>
          <w:rFonts w:ascii="Times New Roman" w:hAnsi="Times New Roman"/>
          <w:b/>
          <w:i/>
          <w:color w:val="000000"/>
          <w:sz w:val="20"/>
        </w:rPr>
        <w:t>NAV Technology Licensing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addition to our internal product development efforts, we also selectively license the NAV Technology Platform and other intellectual property rights to other leading biotechnology and pharmaceutical companies, which we refer to as NAV Technology Licensees. As of June 30, 2026, our NAV Technology Platform was being applied in two commercial products, Zolgensma</w:t>
      </w:r>
      <w:r>
        <w:rPr>
          <w:rFonts w:ascii="Times New Roman" w:hAnsi="Times New Roman"/>
          <w:color w:val="000000"/>
          <w:sz w:val="13"/>
        </w:rPr>
        <w:t>®</w:t>
      </w:r>
      <w:r>
        <w:rPr>
          <w:rFonts w:ascii="Times New Roman" w:hAnsi="Times New Roman"/>
          <w:color w:val="000000"/>
          <w:sz w:val="20"/>
        </w:rPr>
        <w:t xml:space="preserve"> and Itvisma</w:t>
      </w:r>
      <w:r>
        <w:rPr>
          <w:rFonts w:ascii="Times New Roman" w:hAnsi="Times New Roman"/>
          <w:color w:val="000000"/>
          <w:sz w:val="13"/>
        </w:rPr>
        <w:t>®</w:t>
      </w:r>
      <w:r>
        <w:rPr>
          <w:rFonts w:ascii="Times New Roman" w:hAnsi="Times New Roman"/>
          <w:color w:val="000000"/>
          <w:sz w:val="20"/>
        </w:rPr>
        <w:t>, and the preclinical and clinical development of various other licensed products. Licensing the NAV Technology Platform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additional revenue opportunities.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to date have been primarily generated from the licensing of our NAV Technology Platform and other intellectual property rights to NAV Technology Licensees and collaborators, as well as from development and manufacturing services performed under such license and collaboration arrangements. We have not generated any revenues from commercial sales of our own products. If we fail to complete the development of our product candidates in a timely manner or obtain regulatory approval and adequate labeling, our ability to generate future revenues will be materially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license our NAV Technology Platform and other intellectual property rights to other biotechnology and pharmaceutical companies, including collaborators for the joint development and commercialization of our product candidates. The terms of the licenses vary, and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using the NAV Technology Platform and other licensed rights. License agreements generally have a term at least equal to the life of the underlying patents, but are terminable at the option of the licensee. Consideration payable to us under our license and collaboration agreements may include: (i) up-front and annual fees, (ii) milestone payments based on the achievement of certain development and sales-based milestones, (iii) sublicense fees, (iv) royalties on sales of licensed products, (v) fees for services related to the development and manufacturing of licensed products and (vi) other consideration payable upon optional goods and services purchased by licensees and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revenues under our license and collaboration arrangements are dependent on the successful development and commercialization of licensed products, which is uncertain, and revenues may fluctuate significantly from period to period. Additionally, we may never receive consideration under our license or collaboration agreements that is contemplated on optional goods and services, development and sales-based milestones, royalties on sales of licensed products or sublicense fees, given the contingent nature of these payments. Our revenues are concentrated among a low number of licensees and collaborators and the arrangements are terminable at the option of the counterparty. The termination of our license and collaborations arrangements may materially impact the amount of revenue we recognize in future periods.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Zolgensma and Itvisma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Royalty revenue to date consists primarily of royalties on net sales of Zolgensma and Itvisma, which are marketed by Novartis Innovative Technologies Inc. (formerly, Novartis Gene Therapies, Inc.), a wholly owned subsidiary of Novartis AG (Novartis), for the treatment of spinal muscular atrophy (SMA). Zolgensma and Itvisma are licensed products under our license agreement with Novartis (the Novartis License) for the development and commercialization of treatments for SMA using the NAV Technology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licensed patents for Zolgensma under the Novartis License expired in the United States. We are entitled to continued royalties on net sales of Zolgensma in approximately 20 countries where licensed patents remain active. Licensed product made prior to patent expiration but sold after expiration may also be subject to royalties. Licensed patents covering the use of Itvisma have issued in the United States and certain other countries, and we are entitled to ongoing royalties on certain net sales of Itvisma in these territories.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primarily of cost of license and royalty revenues, research and development expenses and general and administrative expenses. Personnel costs including salaries, wages, benefits, bonuses and stock-based compensation expense, comprise a significant component of research and development and general and administrative expenses. We allocate indirect expenses associated with our facilities, information technology costs, depreciation and other overhead costs between research and development and general and administrative categories based on employee headcount and the nature of work performed by each employee or using other reasonable allocation methodologies.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License and Royalty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cost of license and royalty revenues consists primarily of upstream fees due to our licensors as a result of revenue generated from the licensing of our NAV Technology Platform and other intellectual property rights, including sublicense fees and royalties on net sales of licensed products. Sublicense fees are based on a percentage of license fees received by us from licensees and are recognized in the period that the underlying license revenue is recognized. Royalties are based on a percentage of net sales of licensed products by licensees and are recognized in the period that the underlying sales occur. Future costs of revenues are uncertain due to the nature of our license agreements and significant fluctuations in cost of license and royalty revenues may occur from period to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salaries, wages and personnel-related costs, including benefits, travel and stock-based compensation, for our scientific personnel and others performing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executing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acquiring, developing and manufacturing materials for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consultants and other third parties who support our product candidate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costs in seeking regulatory approval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costs and allocated costs related to laboratories and facilities, depreciation expense, information technology and other overhead.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Up-front fees incurred in obtaining technology licenses for research and development activities, as well as associated milestone payments, are charged to research and development expense as incurred if the technology licensed has no alternative future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significant research and development expenses for the foreseeable future as we continue the development of our product candidates and engage in early research and development for prospective product candidates and new technologies. The following table summarizes our research and development expenses incurred during the three and six months ended June 30, 2026 and 2025 (in thousands):</w:t>
      </w:r>
    </w:p>
    <w:p>
      <w:pPr>
        <w:pStyle w:val="TextBody"/>
        <w:bidi w:val="0"/>
        <w:jc w:val="left"/>
        <w:rPr/>
      </w:pPr>
      <w:r>
        <w:rPr/>
        <w:t> </w:t>
      </w:r>
    </w:p>
    <w:tbl>
      <w:tblPr>
        <w:tblW w:w="8485" w:type="dxa"/>
        <w:jc w:val="left"/>
        <w:tblInd w:w="0" w:type="dxa"/>
        <w:tblLayout w:type="fixed"/>
        <w:tblCellMar>
          <w:top w:w="28" w:type="dxa"/>
          <w:left w:w="28" w:type="dxa"/>
          <w:bottom w:w="28" w:type="dxa"/>
          <w:right w:w="28" w:type="dxa"/>
        </w:tblCellMar>
      </w:tblPr>
      <w:tblGrid>
        <w:gridCol w:w="3016"/>
        <w:gridCol w:w="146"/>
        <w:gridCol w:w="231"/>
        <w:gridCol w:w="741"/>
        <w:gridCol w:w="160"/>
        <w:gridCol w:w="160"/>
        <w:gridCol w:w="231"/>
        <w:gridCol w:w="741"/>
        <w:gridCol w:w="146"/>
        <w:gridCol w:w="146"/>
        <w:gridCol w:w="211"/>
        <w:gridCol w:w="781"/>
        <w:gridCol w:w="146"/>
        <w:gridCol w:w="146"/>
        <w:gridCol w:w="211"/>
        <w:gridCol w:w="781"/>
        <w:gridCol w:w="4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ABBV-RGX-314 (sura-vec)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RGX-202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RGX-121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product candidates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direct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Platform and early 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36,972</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Direct expenses related to the development of sura-vec include $12.1 million and $24.7 million for the three and six months ended June 30, 2026, respectively, and $17.1 million and $31.7 million for the three and six months ended June 30, 2025, respectively, in net cost reimbursement from AbbVie under our collaboration, which were recorded as a reduction of research and development expenses. In addition to reimbursement of direct development expenses, net cost reimbursement from AbbVie includes reimbursement of personnel and overhead costs attributable to the development of sura-vec, the underlying costs of which are reported as unallocated expenses in the table above. We typically utilize our employee and infrastructure resources across our development programs.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 we generally do not allocate personnel and other internal costs, such as facilities and other overhead costs, to specific product candidates or development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Platform and early research reported in the table above includes direct costs not identifiable with a specific lead product candidate, including costs associated with our research and development platform used across programs, manufacturing support, process and analytical development, early research and development for prospective product candidates and new technologies, and other costs in support of research and development activities.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administrative expenses consist primarily of salaries, wages and personnel-related costs, including benefits, travel and stock-based compensation, for employees performing functions other than research and development. This includes certain personnel in executive, commercial, corporate development, finance, legal, human resources, information technology, facilities and administrative support functions. Additionally, general and administrative expenses include costs associated with accounting, legal, commercial and other corporate advisory services, obtaining and maintaining patents, insurance, information systems and other general corporate activities, as well as facility-related costs and other corporate overhead costs not otherwise allocated to research and development expense. We expect that our general and administrative expenses will increase as we continue to develop, and potentially commercialize, our product candidates. Specifically, we expect general and administrative costs associated with the potential commercialization of our product candidates to increase in future periods as we and our commercial partners prepare for and carry out product launch efforts, in particular for the potential commercialization of our RGX-202 and sura-vec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 from Licensing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our revenue recognition policy, interest income from licensing consists of imputed interest recognized from significant financing components identified in our license agreements with NAV Technology Licensees.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income consists of interest income earned and gains and losses realized from our cash equivalents, marketable securities and non-marketable equity securities. Cash equivalents are comprised of money market mutual funds and highly liquid debt securities with original maturities of 90 days or less at acquisition. Marketable securities are comprised of available-for-sale debt securities.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is primarily associated with our royalty monetization liabilities, including our December 2020 royalty purchase agreement (2020 Royalty Purchase Agreement) and May 2025 loan agreement (2025 Royalty Bond) with HCR. For further information regarding our royalty monetization liabilities and associated interest expense, please refer to Note 7, “Royalty Monetization Liabilities” to the accompanying unaudited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Management’s Discussion and Analysis of Financial Condition and Results of Operations is based on our consolidated financial statements, which we have prepared in accordance with accounting principles generally accepted in the United States of America (GAAP). The preparation of financial statements in conformity with GAAP requires us to make estimates and assumptions that affect the reported amounts of assets, liabilities, revenues and expenses and related disclosure of contingent assets and liabilities for the periods presented. We base our estimates on historical experience and on various other factors that we believe are reasonable under the circumstances, the results of which form the basis for making judgments about the carrying value of assets and liabilities, and other reported amounts, that are not readily apparent from other sources. Actual results may differ materially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significant accounting policies are fully described in Note 2 to the accompanying unaudited consolidated financial statements and in Note 2 to our audited consolidated financial statements included in our Annual Report on Form 10-K for the year ended December 31, 2025. There have been no significant changes in our critical accounting policies and estimates since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results of operations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0"/>
        <w:gridCol w:w="146"/>
        <w:gridCol w:w="211"/>
        <w:gridCol w:w="783"/>
        <w:gridCol w:w="166"/>
        <w:gridCol w:w="146"/>
        <w:gridCol w:w="211"/>
        <w:gridCol w:w="737"/>
        <w:gridCol w:w="166"/>
        <w:gridCol w:w="146"/>
        <w:gridCol w:w="211"/>
        <w:gridCol w:w="676"/>
        <w:gridCol w:w="166"/>
        <w:gridCol w:w="146"/>
        <w:gridCol w:w="211"/>
        <w:gridCol w:w="781"/>
        <w:gridCol w:w="166"/>
        <w:gridCol w:w="146"/>
        <w:gridCol w:w="211"/>
        <w:gridCol w:w="781"/>
        <w:gridCol w:w="166"/>
        <w:gridCol w:w="146"/>
        <w:gridCol w:w="211"/>
        <w:gridCol w:w="631"/>
        <w:gridCol w:w="614"/>
      </w:tblGrid>
      <w:tr>
        <w:trPr/>
        <w:tc>
          <w:tcPr>
            <w:tcW w:w="22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license and royalty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from licensing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sz w:val="20"/>
        </w:rPr>
      </w:pPr>
      <w:r>
        <w:rPr>
          <w:rFonts w:ascii="Times New Roman" w:hAnsi="Times New Roman"/>
          <w:i/>
          <w:color w:val="000000"/>
          <w:sz w:val="20"/>
        </w:rPr>
        <w:t>License and Royalty Revenue.</w:t>
      </w:r>
      <w:r>
        <w:rPr>
          <w:rFonts w:ascii="Times New Roman" w:hAnsi="Times New Roman"/>
          <w:color w:val="000000"/>
          <w:sz w:val="20"/>
        </w:rPr>
        <w:t xml:space="preserve"> License and royalty revenue increased by $85.4 million, from $18.5 million for the three months ended June 30, 2025 to $103.8 million for the three months ended June 30, 2026. The increase was primarily attributable to $100.0 million of license revenue recognized in the second quarter of 2026 upon the achievement of a development milestone under our sura-vec collaboration with AbbVie for the first patient dosed in the NAAVIGATE trial. The increase in license and royalty revenue was partially offset by a decrease in royalty revenues for the second quarter of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Combined Zolgensma and Itvisma royalties decreased by $14.6 million, from $18.4 million for the second quarter of 2025 to $3.8 million for the second quarter of 2026. Novartis reported combined Zolgensma and Itvisma sales of $365 million for the second quarter of 2026, as compared to $297 million for the second quarter of 2025. Per Novartis, sales growth was driven by continued launch momentum from Itvisma, and Zolgensma sales remained stable. Zolgensma royalties for the second quarter of 2026 were $1.8 million, a decrease of $16.7 million from the second quarter of 2025, which was primarily attributable to the expiration of licensed patents in the United States in January 2026. We are entitled to continued royalties on net sales of Zolgensma in approximately 20 countries where licensed patents remain active. Itvisma royalties for the second quarter of 2026 were $2.1 million. Itvisma was approved in the United States in the fourth quarter of 2025, with U.S. sales commencing in the first quarter of 2026. Itvisma is now also approved in the UAE, Japan, Qatar and the EU. Licensed patents covering the use of Itvisma have issued in the United States and certain other countries, and we are entitled to ongoing royalties on certain net sales of Itvisma in these territories.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Research and development expenses decreased by $3.4 million, from $59.5 million for the three months ended June 30, 2025 to $56.1 million for the three months ended June 30, 2026. The decrease was primarily attributable to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decrease of $3.0 million in manufacturing-related expenses and other clinical supply costs for our lead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$1.5 million in costs associated with clinical trials and regulatory activities, largely driven by a decrease in expenses for sura-vec and RGX-121 pivotal trials, and partially offset by an increase in pivotal trial expenses for RGX-202.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research and development expenses was partially offset by an increase of $0.9 million in costs associated with preclinical activities and other early-stage research and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General and administrative expenses increased by $1.7 million, from $19.9 million for the three months ended June 30, 2025 to $21.6 million for the three months ended June 30, 2026. The increase was largely driven by personnel-related costs, commercialization expenses, consulting and other corporate advisory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sz w:val="20"/>
        </w:rPr>
      </w:pPr>
      <w:r>
        <w:rPr>
          <w:rFonts w:ascii="Times New Roman" w:hAnsi="Times New Roman"/>
          <w:i/>
          <w:color w:val="000000"/>
          <w:sz w:val="20"/>
        </w:rPr>
        <w:t>License and Royalty Revenue.</w:t>
      </w:r>
      <w:r>
        <w:rPr>
          <w:rFonts w:ascii="Times New Roman" w:hAnsi="Times New Roman"/>
          <w:color w:val="000000"/>
          <w:sz w:val="20"/>
        </w:rPr>
        <w:t xml:space="preserve"> License and royalty revenue increased by $3.4 million, from $105.5 million for the six months ended June 30, 2025 to $108.9 million for the six months ended June 30, 2026. The increase was primarily attributable to $100.0 million of license revenue recognized in the second quarter of 2026 upon the achievement of a development milestone under our sura-vec collaboration with AbbVie for the first patient dosed in the NAAVIGATE trial. The increase in license and royalty revenue was partially offset by $70.0 million of non-recurring, upfront license revenue recognized under our collaboration with Nippon Shinyaku in the first quarter of 2025, as well as a decrease in royalty revenues for the first half of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Combined Zolgensma and Itvisma royalties decreased by $26.5 million, from $35.4 million for the first half of 2025 to $8.9 million for the first half of 2026. Novartis reported combined Zolgensma and Itvisma sales of $667 million for the first half of 2026, as compared to $624 million for the first half of 2025. Per Novartis, sales growth was driven by continued launch momentum from Itvisma, and Zolgensma sales remained stable. Zolgensma royalties for the first half of 2026 were $6.5 million, a decrease of $28.9 million from the first half of 2025, which was primarily attributable to the expiration of licensed patents in the United States in January 2026. We are entitled to continued royalties on net sales of Zolgensma in approximately 20 countries where licensed patents remain active. Itvisma royalties for the first half of 2026 were $2.4 million. Itvisma was approved in the United States in the fourth quarter of 2025, with U.S. sales commencing in the first quarter of 2026. Itvisma is now also approved in the UAE, Japan, Qatar and the EU. Licensed patents covering the use of Itvisma have issued in the United States and certain other countries, and we are entitled to ongoing royalties on certain net sales of Itvisma in these territories.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License and Royalty Revenues. </w:t>
      </w:r>
      <w:r>
        <w:rPr>
          <w:rFonts w:ascii="Times New Roman" w:hAnsi="Times New Roman"/>
          <w:color w:val="000000"/>
          <w:sz w:val="20"/>
        </w:rPr>
        <w:t>Cost of license and royalty revenues increased by $3.5 million, from $8.6 million for the six months ended June 30, 2025 to $12.1 million for the six months ended June 30, 2026. The increase was largely driven by a non-recurring charge of $10.0 million in the first quarter of 2026 related to a settlement with GlaxoSmithKline LLC (GSK) to resolve a dispute over sublicense fee obligations under our license agreement with GSK. For further information regarding the settlement agreement with GSK, please refer to Note 8, “Commitments and Contingencies—GlaxoSmithKline—GSK Settlement Agreement” to the accompanying unaudited consolidated financial statements. The increase in cost of license and royalty revenues was partially offset by a decrease in upstream royalties on net sales of Zolgensma, consistent with the decrease in Zolgensma royalty revenues.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Research and development expenses increased by $0.8 million, from $112.6 million for the six months ended June 30, 2025 to $113.4 million for the six months ended June 30, 2026. The increase was primarily attributable to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increase of $1.8 million in personnel-related costs, net of a $0.3 million decrease in stock-based compensation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$1.8 million in costs associated with preclinical activities and other early-stage research and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research and development expenses was partially offset by a decrease of $2.1 million in manufacturing-related expenses and other clinical supply costs for our lead product candidates.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General and administrative expenses increased by $2.7 million, from $40.2 million for the six months ended June 30, 2025 to $42.9 million for the six months ended June 30, 2026. The increase was largely driven by personnel-related costs, commercialization expenses, consulting and other corporate advisory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marketable securities of $105.5 million, which were primarily derived from our royalty monetization with HCR in May 2025 and sales of common stock under our at-the-market offering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2024, we entered into a Sales Agreement with Leerink Partners LLC (Leerink) pursuant to which we may offer and sell shares of our common stock having an aggregate offering price of up to $150.0 million from time to time through Leerink, acting as our sales agent (the ATM Program). During the three and six months ended June 30, 2026, we sold 2,318,735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common stock under the ATM Program for aggregate net proceeds of $18.9 million, after deducting commissions and offering expenses. No shares of common stock were sold under the ATM Program prior to the second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we dosed the first patient in the NAAVIGATE trial, resulting in a $100.0 million development milestone payment due to us under our sura-vec collaboration with AbbVie. The $100.0 million milestone payment was recorded as accounts receivable as of June 30, 2026 and was received from AbbVie in July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2026, we completed a public offering of 11,671,139 shares of our common stock (inclusive of 1,667,250 shares pursuant to the full exercise by the underwriters of their option to purchase additional shares) at a price of $9.00 per share and 1,111,111 pre-funded warrants to purchase shares of our common stock at a price of $8.9999 per pre-funded warrant, which equaled the public offering price per share of the common stock less the $0.0001 exercise price of each pre-funded warrant. The aggregate net proceeds received from the offering were approximately $107.8 million, net of underwriting discounts and commissions and estimated offering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devote the majority of our current capital to preclinical research, clinical development, seeking regulatory approval of our product candidates and, if approved, commercialization of our product candidates, as well as additional capital expenditures needed to support these activities. Because of the numerous risks and uncertainties associated with the development and commercialization of gene therapy product candidates, we are unable to estimate the total amount of operating expenditures and capital outlays necessary to complete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cash, cash equivalents and marketable securities of $105.5 million as of June 30, 2026, along with the $100.0 million milestone payment received from AbbVie in July 2026 and the $107.8 million in net proceeds received from the public offering of common stock and pre-funded warrants in July 2026, are sufficient to fund operations into the fourth quarter of 2027. As such, we believe we have the ability to meet our obligations as they become due for at least the next 12 months from the date of this report. We have based this estimate on assumptions that may prove to be wrong, and we could exhaust our capital resources sooner than expected. Our ability to continue as a going concern will depend heavily on the successful development, approval and commercialization of our product candidates and our ability to raise additional capital to fund operations. If we are unable to raise capital sufficient to meet our working capital needs in the future, we may be forced to delay expenditures, reduce the scope of our development activities or make other changes to our operating plans.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cash flows were as follows (in thousands):</w:t>
      </w:r>
    </w:p>
    <w:tbl>
      <w:tblPr>
        <w:tblW w:w="8104" w:type="dxa"/>
        <w:jc w:val="left"/>
        <w:tblInd w:w="0" w:type="dxa"/>
        <w:tblLayout w:type="fixed"/>
        <w:tblCellMar>
          <w:top w:w="28" w:type="dxa"/>
          <w:left w:w="28" w:type="dxa"/>
          <w:bottom w:w="28" w:type="dxa"/>
          <w:right w:w="28" w:type="dxa"/>
        </w:tblCellMar>
      </w:tblPr>
      <w:tblGrid>
        <w:gridCol w:w="5211"/>
        <w:gridCol w:w="146"/>
        <w:gridCol w:w="211"/>
        <w:gridCol w:w="841"/>
        <w:gridCol w:w="166"/>
        <w:gridCol w:w="146"/>
        <w:gridCol w:w="211"/>
        <w:gridCol w:w="781"/>
        <w:gridCol w:w="391"/>
      </w:tblGrid>
      <w:tr>
        <w:trPr/>
        <w:tc>
          <w:tcPr>
            <w:tcW w:w="5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cash used in operating activities for the six months ended June 30, 2026 increased by $122.7 million from the six months ended June 30, 2025, largely driven by the $110.0 million up-front fee we received from Nippon Shinyaku in March 2025 and an increase in operating expenses in the first half of 2026. We expect to continue to incur regular net cash outflows from operations for the foreseeable future, which from time to time may be offset by non-recurring payments received under our license and collaboration arrangements, as we continue the development and advancement of our product candidates and other research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2026, our net cash used in operating activities of $138.4 million consisted of a net loss of $67.3 million and unfavorable changes in operating assets and liabilities of $104.8 million, offset by adjustments for non-cash items of $33.7 million. The changes in operating assets and liabilities include an increase in accounts receivable of $78.5 million, which was driven primarily by the $100.0 million development milestone due from AbbVie as of June 30, 2026 and received in July 2026, and was partially offset by a $19.7 million decrease in royalties due from Novartis. The unfavorable changes in operating assets and liabilities also include a decrease in accrued expenses and other current liabilities of $15.6 million, which was driven largely by decreases in accrued personnel-related expenses, royalties and sublicense fees, and external research and development services. Other changes in operating working capital occurred in the normal course of business. Adjustments for non-cash items primarily consisted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of $17.7 million, depreciation and amortization expense of $7.6 million and non-cash interest expense of $9.7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our net cash used in operating activities of $15.7 million consisted of a net loss of $64.8 million, offset by favorable changes in operating assets and liabilities of $24.0 million and adjustments for non-cash items of $25.1 million. The changes in operating assets and liabilities include an increase in deferred revenue of $37.7 million, which was driven primarily by the deferred portion of the $110.0 million up-front payment received under our collaboration with Nippon Shinyaku in the first quarter of 2025. The favorable changes in operating assets and liabilities were partially offset by an increase in prepaid expenses and other current assets of $7.3 million, which was driven primarily by an increase in net cost reimbursement due from AbbVie under our sura-vec collaboration and increases in prepaid clinical trial services and software licenses. Other changes in operating working capital occurred in the normal course of business. Adjustments for non-cash items primarily consisted of stock-based compensation expense of $17.2 million and depreciation and amortization expense of $7.9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our net cash provided by investing activities consisted of $148.3 million in sales and maturities of marketable debt securities, offset by $9.8 million used to purchase marketable debt securities and $2.0 million used to purchase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our net cash used in investing activities consisted of $230.3 million used to purchase marketable debt securities and $1.4 million used to purchase property and equipment, offset by $136.0 million in maturities of marketable debt securities.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our net cash provided by financing activities primarily consisted of $19.1 million in proceeds received from sales of common stock under the ATM Program, net of commissions and offering expenses paid during the period, and was partially offset by $15.2 million of royalties paid, net of interest, under our royalty monetization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our net cash provided by financing activities primarily consisted of $144.5 million in proceeds received from the issuance of the 2025 Royalty Bond and warrants to HCR in May 2025, net of discounts and transaction costs paid during the period, and was partially offset by $10.9 million of royalties paid, net of interest, under our royalty monetization liabilities.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Additional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material capital requirements from known contractual and other obligations primarily relate to our vendor service contracts and purchase commitments, in-license agreements, operating lease agreements and royalty monetization agreements. Our material commitments and obligations are further described in Item 7, “Management’s Discussion and Analysis of Financial Condition and Results of Operations” of our Annual Report on Form 10-K for the year ended December 31, 2025, and in the notes to the audited consolidated financial statements included in our Annual Report on Form 10-K for the year ended December 31, 2025. Other than the changes described in the notes to the unaudited consolidated financial statements accompanying this Quarterly Report on Form 10-Q, including Note 8, “Commitments and Contingencies,” there have been no material changes to our commitments and obligations since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cumulative losses since our inception and had an accumulated deficit of $1.19 billion as of June 30, 2026. Our transition to recurring profitability is dependent upon achieving a level of revenues adequate to support our cost structure, which depends heavily on the successful development, approval and commercialization of our product candidates. We do not expect to achieve such revenues, and expect to continue to incur losses, for at least the next several years. We expect to continue to incur significant research and development and general and administrative expenses for the foreseeable future as we continue the development of, and seek regulatory approval for, our product candidates. Subject to obtaining regulatory approval for our product candidates, we expect to incur significant commercialization expenses for product sales, marketing, manufacturing and distribution. Additionally, we expect to continue to incur capital expenditures associated with building out additional laboratory and manufacturing capacity to further support the development of our product candidates and potential commercialization efforts.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enrollment, commencement and completion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preclinical studies for our product candidates and any subsequent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drug discovery, laboratory testing, preclinical development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costs due to a clinical hold or CRL, including BLA resubmission;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receive a PRV and are able to monetize or otherwise realize any potential value associated with such a voucher;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value of any PRV received diminishes including any decreases due to demand for these vouchers;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building out additional laboratory and manufacturing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government-imposed tariffs on cost of goods and services, particularly related to partnered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future product sales, medical affairs, marketing, manufacturing and distribution activities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if any, received from commercial sales of our products, should any of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received from commercial sales of Zolgensma and Itvisma, and the timing and amount of Zolgensma and Itvisma royalties paid to HCR under our royalty monetization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received from other commercial sales of our licensees’ and collaborators’ products, should any of their product candidates receive marketing approval, other revenue received under our licensing agreements and collaborations, and the timing and amount of any such revenues payable to HCR under our royalty monetization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including against Sarepta Therapeutics, Inc., and defending any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licensing agreements or collaborations remaining in effect, including the AbbVie Collaboration Agreement relating to sura-vec and the Nippon Shinyaku Collaboration Agreement relating to RGX-121 and RGX-111, and our ability to timely achieve any milestones set forth in such agreements or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additional licensing agreements or collaborations on favorable terms, if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additional securities, whether equity or debt, by us, including through our at-the-market program, or the possibility of such issuance, may cause the market price of our common stock to decline.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any off-balance sheet arrangements during the periods presented, and we do not currently have, any off-balance sheet arrangements, as defined in the rules and regulations of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information regarding market risk, refer to Item 7A, “Quantitative and Qualitative Disclosures About Market Risk,” included in our Annual Report on Form 10-K for the year ended December 31, 2025. There have been no material changes to our exposure to market risk during the six months ended June 30, 2026.</w:t>
      </w:r>
    </w:p>
    <w:p>
      <w:pPr>
        <w:pStyle w:val="TextBody"/>
        <w:bidi w:val="0"/>
        <w:spacing w:before="36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Conclusion Regarding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this evaluation, our Chief Executive Officer and Chief Financial Officer concluded that, as of June 30, 2026, our disclosure controls and procedures were effective at a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party to various lawsuits, claims or other legal proceedings that arise in the normal course of our business. Please see Note 8, “Commitments and Contingencies—Litigation” to the accompanying unaudited consolidated financial statements for additional information.</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material risk factors are disclosed in Item 1A of our Annual Report on Form 10-K for the year ended December 31, 2025. There have been no material changes from the risk factors previously disclosed in such filing.</w:t>
      </w:r>
    </w:p>
    <w:p>
      <w:pPr>
        <w:pStyle w:val="TextBody"/>
        <w:bidi w:val="0"/>
        <w:spacing w:before="36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as set forth as follows, during the three months ended June 30, 2026, none of our directors or Section 16 reporting officers adopted or terminated a contract, instruction or written plan for the purchase or sale of our securities that is intended to satisfy the affirmative defense conditions of Rule 10b5-1(c) under the Exchange Act (Rule 10b5-1 Plan) or that constituted a “non-Rule 10b5-1 trading arrangement,” as such term is defined in Item 408(a) of the SEC’s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6"/>
        <w:gridCol w:w="146"/>
        <w:gridCol w:w="766"/>
        <w:gridCol w:w="146"/>
        <w:gridCol w:w="1526"/>
        <w:gridCol w:w="146"/>
        <w:gridCol w:w="1108"/>
        <w:gridCol w:w="146"/>
        <w:gridCol w:w="1273"/>
        <w:gridCol w:w="146"/>
        <w:gridCol w:w="1988"/>
        <w:gridCol w:w="146"/>
        <w:gridCol w:w="1262"/>
      </w:tblGrid>
      <w:tr>
        <w:trPr/>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Rule 10b5-1 Trading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 of</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w:t>
            </w:r>
          </w:p>
        </w:tc>
      </w:tr>
      <w:tr>
        <w:trPr/>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Adopted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Purchased/Sold</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C. Stump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Adoption of </w:t>
              <w:br/>
              <w:t>Rule 10b5-1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w:t>
            </w:r>
          </w:p>
        </w:tc>
      </w:tr>
    </w:tbl>
    <w:p>
      <w:pPr>
        <w:pStyle w:val="TextBody"/>
        <w:bidi w:val="0"/>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6040"/>
        <w:gridCol w:w="146"/>
        <w:gridCol w:w="511"/>
        <w:gridCol w:w="146"/>
        <w:gridCol w:w="691"/>
        <w:gridCol w:w="146"/>
        <w:gridCol w:w="655"/>
        <w:gridCol w:w="146"/>
        <w:gridCol w:w="872"/>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49"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0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 or</w:t>
            </w:r>
          </w:p>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hyperlink w:anchor="rgnx-ex10_1.htm">
              <w:r>
                <w:rPr>
                  <w:rStyle w:val="InternetLink"/>
                  <w:rFonts w:ascii="Times New Roman" w:hAnsi="Times New Roman"/>
                  <w:color w:val="0000FF"/>
                  <w:sz w:val="20"/>
                  <w:u w:val="single"/>
                </w:rPr>
                <w:t>First Amendment to Loan Agreement dated April 28, 2026 between REGENXBIO RS LLC and affiliate of Healthcare Royalty Management, LLC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hyperlink w:anchor="rgnx-ex31_1.htm">
              <w:r>
                <w:rPr>
                  <w:rStyle w:val="InternetLink"/>
                  <w:rFonts w:ascii="Times New Roman" w:hAnsi="Times New Roman"/>
                  <w:color w:val="0000FF"/>
                  <w:sz w:val="20"/>
                  <w:u w:val="single"/>
                </w:rPr>
                <w:t>Certification of the Chief Executive Officer as required by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hyperlink w:anchor="rgnx-ex31_2.htm">
              <w:r>
                <w:rPr>
                  <w:rStyle w:val="InternetLink"/>
                  <w:rFonts w:ascii="Times New Roman" w:hAnsi="Times New Roman"/>
                  <w:color w:val="0000FF"/>
                  <w:sz w:val="20"/>
                  <w:u w:val="single"/>
                </w:rPr>
                <w:t>Certification of the Chief Financial Officer as required by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hyperlink w:anchor="rgnx-ex32_1.htm">
              <w:r>
                <w:rPr>
                  <w:rStyle w:val="InternetLink"/>
                  <w:rFonts w:ascii="Times New Roman" w:hAnsi="Times New Roman"/>
                  <w:color w:val="0000FF"/>
                  <w:sz w:val="20"/>
                  <w:u w:val="single"/>
                </w:rPr>
                <w:t>Certifications of the Chief Executive Officer and Chief Financial Officer as required by 18 U.S.C. 1350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The following materials from the Company’s Quarterly Report on Form 10-Q for the fiscal quarter ended June 30, 2026 formatted in Inline XBRL (eXtensible Business Reporting Language): </w:t>
            </w:r>
          </w:p>
          <w:p>
            <w:pPr>
              <w:pStyle w:val="TableContents"/>
              <w:bidi w:val="0"/>
              <w:jc w:val="left"/>
              <w:rPr>
                <w:rFonts w:ascii="Times New Roman" w:hAnsi="Times New Roman"/>
                <w:color w:val="000000"/>
                <w:sz w:val="20"/>
              </w:rPr>
            </w:pPr>
            <w:r>
              <w:rPr>
                <w:rFonts w:ascii="Times New Roman" w:hAnsi="Times New Roman"/>
                <w:color w:val="000000"/>
                <w:sz w:val="20"/>
              </w:rPr>
              <w:t>(i) Consolidated Balance Sheets</w:t>
            </w:r>
          </w:p>
          <w:p>
            <w:pPr>
              <w:pStyle w:val="TableContents"/>
              <w:bidi w:val="0"/>
              <w:jc w:val="left"/>
              <w:rPr>
                <w:rFonts w:ascii="Times New Roman" w:hAnsi="Times New Roman"/>
                <w:color w:val="000000"/>
                <w:sz w:val="20"/>
              </w:rPr>
            </w:pPr>
            <w:r>
              <w:rPr>
                <w:rFonts w:ascii="Times New Roman" w:hAnsi="Times New Roman"/>
                <w:color w:val="000000"/>
                <w:sz w:val="20"/>
              </w:rPr>
              <w:t>(ii) Consolidated Statements of Operations and Comprehensive Income (Loss)</w:t>
            </w:r>
          </w:p>
          <w:p>
            <w:pPr>
              <w:pStyle w:val="TableContents"/>
              <w:bidi w:val="0"/>
              <w:jc w:val="left"/>
              <w:rPr>
                <w:rFonts w:ascii="Times New Roman" w:hAnsi="Times New Roman"/>
                <w:color w:val="000000"/>
                <w:sz w:val="20"/>
              </w:rPr>
            </w:pPr>
            <w:r>
              <w:rPr>
                <w:rFonts w:ascii="Times New Roman" w:hAnsi="Times New Roman"/>
                <w:color w:val="000000"/>
                <w:sz w:val="20"/>
              </w:rPr>
              <w:t>(iii) Consolidated Statements of Stockholders’ Equity</w:t>
            </w:r>
          </w:p>
          <w:p>
            <w:pPr>
              <w:pStyle w:val="TableContents"/>
              <w:bidi w:val="0"/>
              <w:jc w:val="left"/>
              <w:rPr>
                <w:rFonts w:ascii="Times New Roman" w:hAnsi="Times New Roman"/>
                <w:color w:val="000000"/>
                <w:sz w:val="20"/>
              </w:rPr>
            </w:pPr>
            <w:r>
              <w:rPr>
                <w:rFonts w:ascii="Times New Roman" w:hAnsi="Times New Roman"/>
                <w:color w:val="000000"/>
                <w:sz w:val="20"/>
              </w:rPr>
              <w:t>(iv) Consolidated Statements of Cash Flows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 Notes to 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fiscal quarter ended June 30, 2026 formatted in Inline XBRL (included in 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certification attached as Exhibit 32.1 that accompanies this Quarterly Report on Form 10-Q is not deemed filed with the SEC and is not to be incorporated by reference into any filing of REGENXBIO Inc. under the Securities Act or the Exchange Act,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951"/>
        <w:gridCol w:w="14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REGENXBIO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Curran Simpson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Curran Simpson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7243" w:type="dxa"/>
        <w:jc w:val="left"/>
        <w:tblInd w:w="0" w:type="dxa"/>
        <w:tblLayout w:type="fixed"/>
        <w:tblCellMar>
          <w:top w:w="28" w:type="dxa"/>
          <w:left w:w="28" w:type="dxa"/>
          <w:bottom w:w="28" w:type="dxa"/>
          <w:right w:w="28" w:type="dxa"/>
        </w:tblCellMar>
      </w:tblPr>
      <w:tblGrid>
        <w:gridCol w:w="1951"/>
        <w:gridCol w:w="146"/>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Mitchell Chan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Mitchell Chan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rgnx-ex10_1.htm"/>
      <w:bookmarkStart w:id="23" w:name="ksrgnxex10_1"/>
      <w:bookmarkEnd w:id="22"/>
      <w:bookmarkEnd w:id="23"/>
      <w:r>
        <w:rPr>
          <w:rFonts w:ascii="Times New Roman" w:hAnsi="Times New Roman"/>
          <w:b/>
          <w:color w:val="000000"/>
          <w:sz w:val="20"/>
        </w:rPr>
        <w:t>EXHIBIT 10.1</w:t>
      </w:r>
      <w:r>
        <w:br w:type="page"/>
      </w:r>
    </w:p>
    <w:p>
      <w:pPr>
        <w:pStyle w:val="Heading1"/>
        <w:bidi w:val="0"/>
        <w:spacing w:before="79" w:after="283"/>
        <w:jc w:val="right"/>
        <w:rPr>
          <w:rFonts w:ascii="Times New Roman" w:hAnsi="Times New Roman"/>
          <w:color w:val="000000"/>
          <w:sz w:val="24"/>
        </w:rPr>
      </w:pPr>
      <w:r>
        <w:rPr>
          <w:rFonts w:ascii="Times New Roman" w:hAnsi="Times New Roman"/>
          <w:color w:val="000000"/>
          <w:sz w:val="24"/>
        </w:rPr>
        <w:t>Execution Version</w:t>
      </w:r>
    </w:p>
    <w:p>
      <w:pPr>
        <w:pStyle w:val="TextBody"/>
        <w:bidi w:val="0"/>
        <w:spacing w:before="168"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FIRST AMENDMENT TO LOAN AGREEMENT</w:t>
      </w:r>
    </w:p>
    <w:p>
      <w:pPr>
        <w:pStyle w:val="TextBody"/>
        <w:bidi w:val="0"/>
        <w:spacing w:before="204"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This First Amendment to Loan Agreement (this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dated as of April 28, 2026, is made and entered into by and between REGENXBIO RS LLC, a Delaware limited liability company, as borrower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and HCR RGNX ROYALTY SPV, LP, a Delaware limited partnership (“</w:t>
      </w:r>
      <w:r>
        <w:rPr>
          <w:rFonts w:ascii="Times New Roman" w:hAnsi="Times New Roman"/>
          <w:color w:val="000000"/>
          <w:sz w:val="24"/>
          <w:u w:val="single"/>
        </w:rPr>
        <w:t>Lender</w:t>
      </w:r>
      <w:r>
        <w:rPr>
          <w:rFonts w:ascii="Times New Roman" w:hAnsi="Times New Roman"/>
          <w:color w:val="000000"/>
          <w:sz w:val="20"/>
        </w:rPr>
        <w:t>”</w:t>
      </w:r>
      <w:r>
        <w:rPr>
          <w:rFonts w:ascii="Times New Roman" w:hAnsi="Times New Roman"/>
          <w:color w:val="000000"/>
          <w:sz w:val="24"/>
        </w:rPr>
        <w:t>) (each a “</w:t>
      </w:r>
      <w:r>
        <w:rPr>
          <w:rFonts w:ascii="Times New Roman" w:hAnsi="Times New Roman"/>
          <w:color w:val="000000"/>
          <w:sz w:val="24"/>
          <w:u w:val="single"/>
        </w:rPr>
        <w:t>Party</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Parties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entered into that certain Loan Agreement dated as of May 16, 2025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capitalized terms used but not defined herein shall have the meanings ascribed to them in the Agreement) pursuant to which the Lender has extended credit to the Borrower on the terms set forth therein; and</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wish to clarify the interest payment mechanics under the Agreement.</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NOW, THEREFORE, </w:t>
      </w:r>
      <w:r>
        <w:rPr>
          <w:rFonts w:ascii="Times New Roman" w:hAnsi="Times New Roman"/>
          <w:color w:val="000000"/>
          <w:sz w:val="24"/>
        </w:rPr>
        <w:t>in consideration of the mutual promises contained herein, and for other good and valuable consideration, the adequacy and sufficiency of which are hereby acknowledged, the Parties, intending to be legally bound, hereby agree as follows: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definition of Included Royalty Interest in Section 1.01 of the Agreement is hereby amended and restated in its entirety as follows:</w:t>
      </w:r>
    </w:p>
    <w:p>
      <w:pPr>
        <w:pStyle w:val="TextBody"/>
        <w:bidi w:val="0"/>
        <w:spacing w:before="240" w:after="283"/>
        <w:jc w:val="both"/>
        <w:rPr/>
      </w:pPr>
      <w:r>
        <w:rPr>
          <w:color w:val="000000"/>
        </w:rPr>
        <w:t>“ “</w:t>
      </w:r>
      <w:r>
        <w:rPr>
          <w:rFonts w:ascii="Times New Roman" w:hAnsi="Times New Roman"/>
          <w:color w:val="000000"/>
          <w:sz w:val="24"/>
          <w:u w:val="single"/>
        </w:rPr>
        <w:t>Included Royalty Interest</w:t>
      </w:r>
      <w:r>
        <w:rPr>
          <w:rFonts w:ascii="Times New Roman" w:hAnsi="Times New Roman"/>
          <w:color w:val="000000"/>
          <w:sz w:val="20"/>
        </w:rPr>
        <w:t xml:space="preserve">” </w:t>
      </w:r>
      <w:r>
        <w:rPr>
          <w:rFonts w:ascii="Times New Roman" w:hAnsi="Times New Roman"/>
          <w:color w:val="000000"/>
          <w:sz w:val="24"/>
        </w:rPr>
        <w:t xml:space="preserve">means, with respect to each Calendar Quarter, the payments received during such Calendar Quarter in respect of the Royalty Interest;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any royalty or sale-based milestone payment included in the Royalty Interest, such payments shall be deemed Included Royalty Interest for the Calendar Quarter in which they are earned, regardless of whether they are received during such Calendar Quarter, so long as such payments are received on or before the applicable Interest Payment Date for such Calendar Quarter; provided, further that, if such payments are received after the applicable Interest Payment Date for such Calendar Quarter then such payments shall be deemed Included Royalty Interest for the Calendar Quarter corresponding to the Interest Payment Date occurring immediately prior to the date such payments are received.”</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second to last sentence of Section 3.01(c) of the Agreement is hereby amended and restated in its entirety as follows:</w:t>
      </w:r>
    </w:p>
    <w:p>
      <w:pPr>
        <w:pStyle w:val="TextBody"/>
        <w:bidi w:val="0"/>
        <w:spacing w:before="240" w:after="283"/>
        <w:jc w:val="both"/>
        <w:rPr/>
      </w:pPr>
      <w:r>
        <w:rPr>
          <w:color w:val="000000"/>
        </w:rPr>
        <w:t>“</w:t>
      </w:r>
      <w:r>
        <w:rPr>
          <w:rFonts w:ascii="Times New Roman" w:hAnsi="Times New Roman"/>
          <w:color w:val="000000"/>
          <w:sz w:val="24"/>
        </w:rPr>
        <w:t xml:space="preserve">Accreted Principal (and any adjustments to outstanding Principal Amount under </w:t>
      </w:r>
      <w:r>
        <w:rPr>
          <w:rFonts w:ascii="Times New Roman" w:hAnsi="Times New Roman"/>
          <w:color w:val="000000"/>
          <w:sz w:val="24"/>
          <w:u w:val="single"/>
        </w:rPr>
        <w:t>Article V</w:t>
      </w:r>
      <w:r>
        <w:rPr>
          <w:rFonts w:ascii="Times New Roman" w:hAnsi="Times New Roman"/>
          <w:color w:val="000000"/>
          <w:sz w:val="24"/>
        </w:rPr>
        <w:t xml:space="preserve">) shall be deemed to be part of the Loan made to Borrower for all purposes under this Agreement, and the Loan shall bear interest on such increased Principal Amount from and after the last day of the Calendar Quarter corresponding to the applicable Interest Payment Date, in accordance with </w:t>
      </w:r>
      <w:r>
        <w:rPr>
          <w:rFonts w:ascii="Times New Roman" w:hAnsi="Times New Roman"/>
          <w:color w:val="000000"/>
          <w:sz w:val="24"/>
          <w:u w:val="single"/>
        </w:rPr>
        <w:t>Section 4.01</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first sentence of Section 4.01(b) of the Agreement is hereby amended and restated in its entirety as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color w:val="000000"/>
        </w:rPr>
      </w:pPr>
      <w:r>
        <w:rPr>
          <w:color w:val="000000"/>
        </w:rPr>
        <w:t>“</w:t>
      </w:r>
      <w:r>
        <w:rPr>
          <w:rFonts w:ascii="Times New Roman" w:hAnsi="Times New Roman"/>
          <w:color w:val="000000"/>
          <w:sz w:val="24"/>
        </w:rPr>
        <w:t>Interest on the Loan for each Calendar Quarter shall be due and payable in arrears on the applicable Interest Payment Date for such Calendar Quarter.”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Section 4.03(a) of the Agreement is hereby amended and restated in its entirety as follows:</w:t>
      </w:r>
    </w:p>
    <w:p>
      <w:pPr>
        <w:pStyle w:val="TextBody"/>
        <w:bidi w:val="0"/>
        <w:spacing w:before="240" w:after="283"/>
        <w:jc w:val="both"/>
        <w:rPr>
          <w:color w:val="000000"/>
        </w:rPr>
      </w:pPr>
      <w:r>
        <w:rPr>
          <w:color w:val="000000"/>
        </w:rPr>
        <w:t>“</w:t>
      </w:r>
      <w:r>
        <w:rPr>
          <w:rFonts w:ascii="Times New Roman" w:hAnsi="Times New Roman"/>
          <w:color w:val="000000"/>
          <w:sz w:val="24"/>
        </w:rPr>
        <w:t>(a) Accrued and unpaid interest on the Loan for the immediately preceding Calendar Quarter shall be payable in arrears on each Interest Payment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Section 4.03(b) of the Agreement is hereby amended and restated in its entirety as follows:</w:t>
      </w:r>
    </w:p>
    <w:p>
      <w:pPr>
        <w:pStyle w:val="TextBody"/>
        <w:bidi w:val="0"/>
        <w:spacing w:before="240" w:after="283"/>
        <w:jc w:val="both"/>
        <w:rPr>
          <w:color w:val="000000"/>
        </w:rPr>
      </w:pPr>
      <w:r>
        <w:rPr>
          <w:color w:val="000000"/>
        </w:rPr>
        <w:t>“</w:t>
      </w:r>
      <w:r>
        <w:rPr>
          <w:rFonts w:ascii="Times New Roman" w:hAnsi="Times New Roman"/>
          <w:color w:val="000000"/>
          <w:sz w:val="24"/>
        </w:rPr>
        <w:t>(b) To the extent the Included Royalty Interest for the immediately preceding Calendar Quarter for such Interest Payment Date exceeds Fixed Interest accrued and payable on the Loan on such Interest Payment Date (such amount, the “Amortization Payment”), the Amortization Payment shall be applied to repay principal on the Loan outstanding at par as of the last day of such Calendar Quarter.”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Amendment shall be effective as of the Closing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any conflict between the terms of this Amendment and the terms of the Agreement or the other Loan Documents, the terms hereof shall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as expressly set forth in this Amendment, the Agreement remains in full force and effect, without change or modification.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Amendment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email with PDF attachment shall be considered original executed counterparts.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This Amendment shall be governed by and construed and interpreted in accordance with the Laws of State of New York without regard to the conflicts of Laws principles thereof to the extent that such principles would require or permit the application of the Laws of a jurisdiction other than the State of New York.</w:t>
      </w:r>
    </w:p>
    <w:p>
      <w:pPr>
        <w:pStyle w:val="TextBody"/>
        <w:bidi w:val="0"/>
        <w:spacing w:before="241" w:after="283"/>
        <w:jc w:val="left"/>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have caused this Amendment to be executed by their respective duly authorized representatives as of the date first above written.</w:t>
      </w:r>
    </w:p>
    <w:p>
      <w:pPr>
        <w:pStyle w:val="TextBody"/>
        <w:bidi w:val="0"/>
        <w:jc w:val="left"/>
        <w:rPr/>
      </w:pPr>
      <w:r>
        <w:rPr/>
        <w:t> </w:t>
      </w:r>
    </w:p>
    <w:p>
      <w:pPr>
        <w:pStyle w:val="TextBody"/>
        <w:bidi w:val="0"/>
        <w:spacing w:before="30" w:after="283"/>
        <w:jc w:val="left"/>
        <w:rPr/>
      </w:pPr>
      <w:r>
        <w:rPr/>
        <w:t> </w:t>
      </w:r>
    </w:p>
    <w:tbl>
      <w:tblPr>
        <w:tblW w:w="8593" w:type="dxa"/>
        <w:jc w:val="left"/>
        <w:tblInd w:w="0" w:type="dxa"/>
        <w:tblLayout w:type="fixed"/>
        <w:tblCellMar>
          <w:top w:w="28" w:type="dxa"/>
          <w:left w:w="28" w:type="dxa"/>
          <w:bottom w:w="28" w:type="dxa"/>
          <w:right w:w="28" w:type="dxa"/>
        </w:tblCellMar>
      </w:tblPr>
      <w:tblGrid>
        <w:gridCol w:w="3839"/>
        <w:gridCol w:w="4754"/>
      </w:tblGrid>
      <w:tr>
        <w:trPr/>
        <w:tc>
          <w:tcPr>
            <w:tcW w:w="3839" w:type="dxa"/>
            <w:tcBorders/>
            <w:vAlign w:val="center"/>
          </w:tcPr>
          <w:p>
            <w:pPr>
              <w:pStyle w:val="TableContents"/>
              <w:bidi w:val="0"/>
              <w:spacing w:before="0" w:after="283"/>
              <w:jc w:val="left"/>
              <w:rPr>
                <w:sz w:val="4"/>
                <w:szCs w:val="4"/>
              </w:rPr>
            </w:pPr>
            <w:r>
              <w:rPr>
                <w:sz w:val="4"/>
                <w:szCs w:val="4"/>
              </w:rPr>
            </w:r>
          </w:p>
        </w:tc>
        <w:tc>
          <w:tcPr>
            <w:tcW w:w="4754" w:type="dxa"/>
            <w:tcBorders/>
            <w:vAlign w:val="center"/>
          </w:tcPr>
          <w:p>
            <w:pPr>
              <w:pStyle w:val="TableContents"/>
              <w:bidi w:val="0"/>
              <w:spacing w:before="0" w:after="283"/>
              <w:ind w:left="0" w:right="0" w:firstLine="64"/>
              <w:jc w:val="left"/>
              <w:rPr>
                <w:sz w:val="4"/>
                <w:szCs w:val="4"/>
              </w:rPr>
            </w:pPr>
            <w:r>
              <w:rPr>
                <w:sz w:val="4"/>
                <w:szCs w:val="4"/>
              </w:rPr>
            </w:r>
          </w:p>
        </w:tc>
      </w:tr>
      <w:tr>
        <w:trPr/>
        <w:tc>
          <w:tcPr>
            <w:tcW w:w="3839" w:type="dxa"/>
            <w:tcBorders/>
            <w:tcMar>
              <w:top w:w="0" w:type="dxa"/>
              <w:left w:w="0" w:type="dxa"/>
              <w:bottom w:w="0" w:type="dxa"/>
              <w:right w:w="0" w:type="dxa"/>
            </w:tcMar>
            <w:vAlign w:val="center"/>
          </w:tcPr>
          <w:p>
            <w:pPr>
              <w:pStyle w:val="TableContents"/>
              <w:bidi w:val="0"/>
              <w:spacing w:before="0" w:after="283"/>
              <w:ind w:left="0" w:right="0" w:firstLine="118"/>
              <w:jc w:val="left"/>
              <w:rPr>
                <w:rFonts w:ascii="Times New Roman" w:hAnsi="Times New Roman"/>
                <w:color w:val="000000"/>
                <w:sz w:val="24"/>
              </w:rPr>
            </w:pPr>
            <w:r>
              <w:rPr>
                <w:rFonts w:ascii="Times New Roman" w:hAnsi="Times New Roman"/>
                <w:color w:val="000000"/>
                <w:sz w:val="24"/>
              </w:rPr>
              <w:t>REGENXBIO RS LLC, as Borrower</w:t>
            </w:r>
          </w:p>
        </w:tc>
        <w:tc>
          <w:tcPr>
            <w:tcW w:w="4754" w:type="dxa"/>
            <w:tcBorders/>
            <w:tcMar>
              <w:top w:w="0" w:type="dxa"/>
              <w:left w:w="0" w:type="dxa"/>
              <w:bottom w:w="0" w:type="dxa"/>
              <w:right w:w="0" w:type="dxa"/>
            </w:tcMar>
            <w:vAlign w:val="center"/>
          </w:tcPr>
          <w:p>
            <w:pPr>
              <w:pStyle w:val="TableContents"/>
              <w:bidi w:val="0"/>
              <w:ind w:left="0" w:right="0" w:firstLine="118"/>
              <w:jc w:val="left"/>
              <w:rPr>
                <w:rFonts w:ascii="Times New Roman" w:hAnsi="Times New Roman"/>
                <w:color w:val="000000"/>
                <w:sz w:val="24"/>
              </w:rPr>
            </w:pPr>
            <w:r>
              <w:rPr>
                <w:rFonts w:ascii="Times New Roman" w:hAnsi="Times New Roman"/>
                <w:color w:val="000000"/>
                <w:sz w:val="24"/>
              </w:rPr>
              <w:t>HCR RGNX ROYALTY SPV, LP, as Lender</w:t>
            </w:r>
          </w:p>
          <w:p>
            <w:pPr>
              <w:pStyle w:val="TableContents"/>
              <w:bidi w:val="0"/>
              <w:ind w:left="0" w:right="0" w:firstLine="118"/>
              <w:jc w:val="left"/>
              <w:rPr/>
            </w:pPr>
            <w:r>
              <w:rPr/>
              <w:t> </w:t>
            </w:r>
          </w:p>
          <w:p>
            <w:pPr>
              <w:pStyle w:val="TableContents"/>
              <w:bidi w:val="0"/>
              <w:ind w:left="0" w:right="0" w:firstLine="118"/>
              <w:jc w:val="left"/>
              <w:rPr>
                <w:rFonts w:ascii="Times New Roman" w:hAnsi="Times New Roman"/>
                <w:color w:val="000000"/>
                <w:sz w:val="24"/>
              </w:rPr>
            </w:pPr>
            <w:r>
              <w:rPr>
                <w:rFonts w:ascii="Times New Roman" w:hAnsi="Times New Roman"/>
                <w:color w:val="000000"/>
                <w:sz w:val="24"/>
              </w:rPr>
              <w:t>By: HCR RGNX ROYALTY SPV GP, LLC,</w:t>
            </w:r>
          </w:p>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its general partner</w:t>
            </w:r>
          </w:p>
        </w:tc>
      </w:tr>
      <w:tr>
        <w:trPr/>
        <w:tc>
          <w:tcPr>
            <w:tcW w:w="3839" w:type="dxa"/>
            <w:tcBorders/>
            <w:tcMar>
              <w:top w:w="0" w:type="dxa"/>
              <w:left w:w="0" w:type="dxa"/>
              <w:bottom w:w="0" w:type="dxa"/>
              <w:right w:w="0" w:type="dxa"/>
            </w:tcMar>
            <w:vAlign w:val="center"/>
          </w:tcPr>
          <w:p>
            <w:pPr>
              <w:pStyle w:val="TableContents"/>
              <w:bidi w:val="0"/>
              <w:spacing w:before="271" w:after="283"/>
              <w:ind w:left="0" w:right="0" w:firstLine="104"/>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Curran Simpson</w:t>
            </w:r>
          </w:p>
        </w:tc>
        <w:tc>
          <w:tcPr>
            <w:tcW w:w="4754" w:type="dxa"/>
            <w:tcBorders/>
            <w:tcMar>
              <w:top w:w="0" w:type="dxa"/>
              <w:left w:w="0" w:type="dxa"/>
              <w:bottom w:w="0" w:type="dxa"/>
              <w:right w:w="0" w:type="dxa"/>
            </w:tcMar>
            <w:vAlign w:val="center"/>
          </w:tcPr>
          <w:p>
            <w:pPr>
              <w:pStyle w:val="TableContents"/>
              <w:bidi w:val="0"/>
              <w:spacing w:before="271" w:after="283"/>
              <w:ind w:left="0" w:right="0" w:firstLine="5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Clarke B. Futch</w:t>
            </w:r>
          </w:p>
        </w:tc>
      </w:tr>
      <w:tr>
        <w:trPr/>
        <w:tc>
          <w:tcPr>
            <w:tcW w:w="3839" w:type="dxa"/>
            <w:tcBorders/>
            <w:tcMar>
              <w:top w:w="0" w:type="dxa"/>
              <w:left w:w="0" w:type="dxa"/>
              <w:bottom w:w="0" w:type="dxa"/>
              <w:right w:w="0" w:type="dxa"/>
            </w:tcMar>
            <w:vAlign w:val="center"/>
          </w:tcPr>
          <w:p>
            <w:pPr>
              <w:pStyle w:val="TableContents"/>
              <w:bidi w:val="0"/>
              <w:spacing w:before="0" w:after="283"/>
              <w:ind w:left="0" w:right="0" w:firstLine="118"/>
              <w:jc w:val="left"/>
              <w:rPr>
                <w:rFonts w:ascii="Times New Roman" w:hAnsi="Times New Roman"/>
                <w:color w:val="000000"/>
                <w:sz w:val="24"/>
              </w:rPr>
            </w:pPr>
            <w:r>
              <w:rPr>
                <w:rFonts w:ascii="Times New Roman" w:hAnsi="Times New Roman"/>
                <w:color w:val="000000"/>
                <w:sz w:val="24"/>
              </w:rPr>
              <w:t>Name: Curran Simpson</w:t>
            </w:r>
          </w:p>
        </w:tc>
        <w:tc>
          <w:tcPr>
            <w:tcW w:w="4754"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Name: Clarke B. Futch</w:t>
            </w:r>
          </w:p>
        </w:tc>
      </w:tr>
      <w:tr>
        <w:trPr/>
        <w:tc>
          <w:tcPr>
            <w:tcW w:w="3839" w:type="dxa"/>
            <w:tcBorders/>
            <w:tcMar>
              <w:top w:w="0" w:type="dxa"/>
              <w:left w:w="0" w:type="dxa"/>
              <w:bottom w:w="0" w:type="dxa"/>
              <w:right w:w="0" w:type="dxa"/>
            </w:tcMar>
            <w:vAlign w:val="center"/>
          </w:tcPr>
          <w:p>
            <w:pPr>
              <w:pStyle w:val="TableContents"/>
              <w:bidi w:val="0"/>
              <w:spacing w:before="0" w:after="283"/>
              <w:ind w:left="0" w:right="0" w:firstLine="118"/>
              <w:jc w:val="left"/>
              <w:rPr>
                <w:rFonts w:ascii="Times New Roman" w:hAnsi="Times New Roman"/>
                <w:color w:val="000000"/>
                <w:sz w:val="24"/>
              </w:rPr>
            </w:pPr>
            <w:r>
              <w:rPr>
                <w:rFonts w:ascii="Times New Roman" w:hAnsi="Times New Roman"/>
                <w:color w:val="000000"/>
                <w:sz w:val="24"/>
              </w:rPr>
              <w:t>Title: Chief Executive Officer</w:t>
            </w:r>
          </w:p>
        </w:tc>
        <w:tc>
          <w:tcPr>
            <w:tcW w:w="4754" w:type="dxa"/>
            <w:tcBorders/>
            <w:tcMar>
              <w:top w:w="0" w:type="dxa"/>
              <w:left w:w="0" w:type="dxa"/>
              <w:bottom w:w="0" w:type="dxa"/>
              <w:right w:w="0" w:type="dxa"/>
            </w:tcMar>
            <w:vAlign w:val="center"/>
          </w:tcPr>
          <w:p>
            <w:pPr>
              <w:pStyle w:val="TableContents"/>
              <w:bidi w:val="0"/>
              <w:spacing w:before="0" w:after="283"/>
              <w:ind w:left="0" w:right="0" w:firstLine="118"/>
              <w:jc w:val="left"/>
              <w:rPr>
                <w:rFonts w:ascii="Times New Roman" w:hAnsi="Times New Roman"/>
                <w:color w:val="000000"/>
                <w:sz w:val="24"/>
              </w:rPr>
            </w:pPr>
            <w:r>
              <w:rPr>
                <w:rFonts w:ascii="Times New Roman" w:hAnsi="Times New Roman"/>
                <w:color w:val="000000"/>
                <w:sz w:val="24"/>
              </w:rPr>
              <w:t>Title: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[Signature Page to First Amendment to Loan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fis_certification"/>
      <w:bookmarkStart w:id="25" w:name="rgnx-ex31_1.htm"/>
      <w:bookmarkStart w:id="26" w:name="ksrgnxex31_1"/>
      <w:bookmarkEnd w:id="24"/>
      <w:bookmarkEnd w:id="25"/>
      <w:bookmarkEnd w:id="26"/>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Curran Simpson,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REGENXBIO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615" w:type="dxa"/>
        <w:jc w:val="left"/>
        <w:tblInd w:w="0" w:type="dxa"/>
        <w:tblLayout w:type="fixed"/>
        <w:tblCellMar>
          <w:top w:w="28" w:type="dxa"/>
          <w:left w:w="28" w:type="dxa"/>
          <w:bottom w:w="28" w:type="dxa"/>
          <w:right w:w="28" w:type="dxa"/>
        </w:tblCellMar>
      </w:tblPr>
      <w:tblGrid>
        <w:gridCol w:w="1846"/>
        <w:gridCol w:w="146"/>
        <w:gridCol w:w="146"/>
        <w:gridCol w:w="14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Curran Simpson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Curran Simpson</w:t>
            </w:r>
          </w:p>
          <w:p>
            <w:pPr>
              <w:pStyle w:val="TableContents"/>
              <w:bidi w:val="0"/>
              <w:jc w:val="left"/>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is_certification_2"/>
      <w:bookmarkStart w:id="28" w:name="rgnx-ex31_2.htm"/>
      <w:bookmarkStart w:id="29" w:name="ksrgnxex31_2"/>
      <w:bookmarkEnd w:id="27"/>
      <w:bookmarkEnd w:id="28"/>
      <w:bookmarkEnd w:id="29"/>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Mitchell Chan,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REGENXBIO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215" w:type="dxa"/>
        <w:jc w:val="left"/>
        <w:tblInd w:w="0" w:type="dxa"/>
        <w:tblLayout w:type="fixed"/>
        <w:tblCellMar>
          <w:top w:w="28" w:type="dxa"/>
          <w:left w:w="28" w:type="dxa"/>
          <w:bottom w:w="28" w:type="dxa"/>
          <w:right w:w="28" w:type="dxa"/>
        </w:tblCellMar>
      </w:tblPr>
      <w:tblGrid>
        <w:gridCol w:w="1846"/>
        <w:gridCol w:w="146"/>
        <w:gridCol w:w="146"/>
        <w:gridCol w:w="14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Mitchell Chan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Mitchell Chan</w:t>
            </w:r>
          </w:p>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rgnx-ex32_1.htm"/>
      <w:bookmarkStart w:id="31" w:name="ksrgnxex32_1"/>
      <w:bookmarkEnd w:id="30"/>
      <w:bookmarkEnd w:id="31"/>
      <w:r>
        <w:rPr/>
        <w:t> </w:t>
      </w:r>
      <w:r>
        <w:br w:type="page"/>
      </w:r>
    </w:p>
    <w:p>
      <w:pPr>
        <w:pStyle w:val="TextBody"/>
        <w:bidi w:val="0"/>
        <w:jc w:val="right"/>
        <w:rPr>
          <w:rFonts w:ascii="Times New Roman" w:hAnsi="Times New Roman"/>
          <w:b/>
          <w:color w:val="000000"/>
          <w:sz w:val="20"/>
        </w:rPr>
      </w:pPr>
      <w:bookmarkStart w:id="32" w:name="fis_certification_3"/>
      <w:bookmarkEnd w:id="32"/>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REGENXBIO Inc. (the “Registrant”) on Form 10-Q for the quarter ended June 30, 2026 as filed with the Securities and Exchange Commission on the date hereof (the “Report”), the undersigned, Curran Simpson, President, Chief Executive Officer and Director of the Registrant, and Mitchell Chan, Chief Financial Officer of the Registrant, certify, pursuant to 18 U.S.C. Section 1350, as adopted pursuant to Section 906 of the Sarbanes-Oxley Act of 2002, that to their respective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5286" w:type="dxa"/>
        <w:jc w:val="left"/>
        <w:tblInd w:w="0" w:type="dxa"/>
        <w:tblLayout w:type="fixed"/>
        <w:tblCellMar>
          <w:top w:w="28" w:type="dxa"/>
          <w:left w:w="28" w:type="dxa"/>
          <w:bottom w:w="28" w:type="dxa"/>
          <w:right w:w="28" w:type="dxa"/>
        </w:tblCellMar>
      </w:tblPr>
      <w:tblGrid>
        <w:gridCol w:w="1846"/>
        <w:gridCol w:w="109"/>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Curran Simpson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Curran Simpson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tbl>
      <w:tblPr>
        <w:tblW w:w="5886" w:type="dxa"/>
        <w:jc w:val="left"/>
        <w:tblInd w:w="0" w:type="dxa"/>
        <w:tblLayout w:type="fixed"/>
        <w:tblCellMar>
          <w:top w:w="28" w:type="dxa"/>
          <w:left w:w="28" w:type="dxa"/>
          <w:bottom w:w="28" w:type="dxa"/>
          <w:right w:w="28" w:type="dxa"/>
        </w:tblCellMar>
      </w:tblPr>
      <w:tblGrid>
        <w:gridCol w:w="1846"/>
        <w:gridCol w:w="109"/>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Mitchell Chan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Mitchell Chan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r>
        <w:rPr>
          <w:rFonts w:ascii="Times New Roman" w:hAnsi="Times New Roman"/>
          <w:color w:val="000000"/>
          <w:sz w:val="20"/>
        </w:rPr>
        <w: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certification accompanies the Form 10-Q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590877/000156459021031957/rgnx-ex31_42.htm" TargetMode="External"/><Relationship Id="rId3" Type="http://schemas.openxmlformats.org/officeDocument/2006/relationships/hyperlink" Target="https://www.sec.gov/Archives/edgar/data/1590877/000119312526094013/rgnx-ex3_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29517</Words>
  <Characters>163743</Characters>
  <CharactersWithSpaces>195123</CharactersWithSpaces>
  <Paragraphs>7815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