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Malzahn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REGENXBIO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9804 MEDICAL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REGENXBIO Inc.</w:t>
              </w:r>
            </w:hyperlink>
            <w:r>
              <w:rPr/>
              <w:t xml:space="preserve"> [ </w:t>
            </w:r>
            <w:r>
              <w:rPr>
                <w:rFonts w:ascii="Times;serif" w:hAnsi="Times;serif"/>
                <w:color w:val="0000FF"/>
                <w:sz w:val="24"/>
                <w:shd w:fill="FFFFFF" w:val="clear"/>
              </w:rPr>
              <w:t>RGNX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234</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9.32</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81,960</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pay taxes upon the vesting of restricted stock units originally granted to the reporting person on September 1, 2022. The number of shares withheld was determined based on the closing price of the issuer's common stock on September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Christmas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2007" TargetMode="External"/><Relationship Id="rId5" Type="http://schemas.openxmlformats.org/officeDocument/2006/relationships/hyperlink" Target="http://www.sec.gov/cgi-bin/browse-edgar?action=getcompany&amp;CIK=0001590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3342</Characters>
  <CharactersWithSpaces>3888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