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License Agreement with AbbVie</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August 5, 2025, REGENXBIO Inc. (the “Company”) and AbbVie Global Enterprises Ltd. (“AbbVie”), a subsidiary of AbbVie Inc., entered into a First Amendment (the “Amendment”) to the Collaboration and License Agreement, dated as of September 10, 2021 (the “Collaboration Agreement”) by and between the Company and AbbVie. The Amendment modifies the development plan and related milestone structure for the diabetic retinopathy (“DR”) program and adds an additional AbbVie-led investment to support the subretinal wet age-related macular degeneration (“wAMD”) program.</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Amendment, the Company will conduct the first registration enabling trial for DR suprachoroidal (“SCS”) treatment as a combined Phase IIb/III trial performed in two parts (Part 1 and Part 2), and AbbVie will conduct the second registration enabling trial as a separate, standalone Phase</w:t>
      </w:r>
    </w:p>
    <w:p>
      <w:pPr>
        <w:jc w:val="both"/>
        <w:ind w:firstLine="8"/>
        <w:spacing w:after="0" w:line="252" w:lineRule="auto"/>
        <w:tabs>
          <w:tab w:leader="none" w:pos="2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In lieu of the $200 million milestone due under the Collaboration Agreement upon first patient dosed in the first registration enabling trial for DR SCS treatment, AbbVie will pay the Company $100 million upon first patient dosed in the Phase IIb/III trial for DR SCS treatment and an additional $100 million upon first patient dosed in the subsequent Phase III trial under the Amendment. AbbVie will also lead a new Phase IIIb randomized controlled study (the “ACHIEVE Study”) to assess the injection burden, adverse events, change in disease activity, and long-term preservation of visual acuity of surabgene lomparvovec (sura-vec, ABBV-RGX-314) in adult participants with neovascular AMD. In exchange for AbbVie covering all the ACHIEVE Study costs, the Company will pay for its costs to conduct Part 1 of the Phase IIb/III SCS DR Study.</w:t>
      </w:r>
    </w:p>
    <w:p>
      <w:pPr>
        <w:spacing w:after="0" w:line="2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20" w:firstLine="749"/>
        <w:spacing w:after="0" w:line="239" w:lineRule="exact"/>
        <w:rPr>
          <w:sz w:val="20"/>
          <w:szCs w:val="20"/>
          <w:color w:val="auto"/>
        </w:rPr>
      </w:pPr>
      <w:r>
        <w:rPr>
          <w:rFonts w:ascii="Times New Roman" w:cs="Times New Roman" w:eastAsia="Times New Roman" w:hAnsi="Times New Roman"/>
          <w:sz w:val="18"/>
          <w:szCs w:val="18"/>
          <w:color w:val="auto"/>
        </w:rPr>
        <w:t>On August 7, 2025, REGENXBIO Inc. (the “Company”) issued a press release regarding its results of operations and financial condition for the quarter ended June 30, 2025.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by reference herein.</w:t>
      </w:r>
    </w:p>
    <w:p>
      <w:pPr>
        <w:spacing w:after="0" w:line="130"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The information in Item 2.02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3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Company and AbbVie Inc. issued a joint press release on August 7, 2025, announcing the entry into the Amendment, a copy of which is attached hereto as Exhibit 99.2 and incorporated herein by reference.</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6040" w:type="dxa"/>
            <w:vAlign w:val="bottom"/>
            <w:tcBorders>
              <w:top w:val="single" w:sz="8" w:color="auto"/>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August 7, 2025 relating to REGENXBIO Inc.’s financial results.</w:t>
            </w:r>
          </w:p>
        </w:tc>
        <w:tc>
          <w:tcPr>
            <w:tcW w:w="4160" w:type="dxa"/>
            <w:vAlign w:val="bottom"/>
            <w:tcBorders>
              <w:top w:val="single" w:sz="8" w:color="auto"/>
            </w:tcBorders>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Joint press release dated August 7, 2025.</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Reports Second Quarter 2025 Financial Results and Operational Highlights</w:t>
      </w:r>
    </w:p>
    <w:p>
      <w:pPr>
        <w:spacing w:after="0" w:line="204" w:lineRule="exact"/>
        <w:rPr>
          <w:sz w:val="20"/>
          <w:szCs w:val="20"/>
          <w:color w:val="auto"/>
        </w:rPr>
      </w:pPr>
    </w:p>
    <w:p>
      <w:pPr>
        <w:ind w:left="1500" w:right="400" w:hanging="743"/>
        <w:spacing w:after="0" w:line="248" w:lineRule="auto"/>
        <w:tabs>
          <w:tab w:leader="none" w:pos="1126"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 xml:space="preserve">RGX-202 in Duchenne muscular dystrophy on track for topline results 1H 2026 and BLA submission mid-2026 </w:t>
      </w:r>
      <w:r>
        <w:rPr>
          <w:rFonts w:ascii="Times New Roman" w:cs="Times New Roman" w:eastAsia="Times New Roman" w:hAnsi="Times New Roman"/>
          <w:sz w:val="17"/>
          <w:szCs w:val="17"/>
          <w:color w:val="auto"/>
        </w:rPr>
        <w:t xml:space="preserve">o </w:t>
      </w:r>
      <w:r>
        <w:rPr>
          <w:rFonts w:ascii="Arial" w:cs="Arial" w:eastAsia="Arial" w:hAnsi="Arial"/>
          <w:sz w:val="19"/>
          <w:szCs w:val="19"/>
          <w:i w:val="1"/>
          <w:iCs w:val="1"/>
          <w:color w:val="auto"/>
        </w:rPr>
        <w:t>Pivotal trial enrollment accelerated, expected to complete in October 2025 ahead of previous guidance</w:t>
      </w:r>
    </w:p>
    <w:p>
      <w:pPr>
        <w:spacing w:after="0" w:line="1" w:lineRule="exact"/>
        <w:rPr>
          <w:rFonts w:ascii="Times New Roman" w:cs="Times New Roman" w:eastAsia="Times New Roman" w:hAnsi="Times New Roman"/>
          <w:sz w:val="18"/>
          <w:szCs w:val="18"/>
          <w:color w:val="auto"/>
        </w:rPr>
      </w:pPr>
    </w:p>
    <w:p>
      <w:pPr>
        <w:ind w:left="1140" w:right="340" w:hanging="383"/>
        <w:spacing w:after="0" w:line="225" w:lineRule="auto"/>
        <w:tabs>
          <w:tab w:leader="none" w:pos="11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Clemidsogene lanparvovec (RGX-121) on track to be first gene therapy and one-time treatment for MPS II; FDA inspections completed successfully</w:t>
      </w:r>
    </w:p>
    <w:p>
      <w:pPr>
        <w:ind w:left="1880" w:right="220" w:hanging="374"/>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9"/>
          <w:szCs w:val="19"/>
          <w:i w:val="1"/>
          <w:iCs w:val="1"/>
          <w:color w:val="auto"/>
        </w:rPr>
        <w:t>Pre-license inspection (PLI) of in-house manufacturing facility, quality systems and processes completed</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with no observations</w:t>
      </w:r>
    </w:p>
    <w:p>
      <w:pPr>
        <w:spacing w:after="0" w:line="1" w:lineRule="exact"/>
        <w:rPr>
          <w:rFonts w:ascii="Times New Roman" w:cs="Times New Roman" w:eastAsia="Times New Roman" w:hAnsi="Times New Roman"/>
          <w:sz w:val="18"/>
          <w:szCs w:val="18"/>
          <w:color w:val="auto"/>
        </w:rPr>
      </w:pPr>
    </w:p>
    <w:p>
      <w:pPr>
        <w:ind w:left="1880" w:right="220" w:hanging="374"/>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9"/>
          <w:szCs w:val="19"/>
          <w:i w:val="1"/>
          <w:iCs w:val="1"/>
          <w:color w:val="auto"/>
        </w:rPr>
        <w:t>Bioresearch monitoring information (BIMO) inspection of laboratory and clinical data practices completed</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with no observations</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Surabgene lomparvovec (sura-vec, ABBV-RGX-314) on track to be first gene therapy in chronic retinal disease</w:t>
      </w:r>
    </w:p>
    <w:p>
      <w:pPr>
        <w:ind w:left="1880" w:right="380" w:hanging="375"/>
        <w:spacing w:after="0" w:line="225" w:lineRule="auto"/>
        <w:tabs>
          <w:tab w:leader="none" w:pos="1880" w:val="left"/>
        </w:tabs>
        <w:numPr>
          <w:ilvl w:val="1"/>
          <w:numId w:val="6"/>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Pivotal data evaluating the safety and efficacy of the subretinal delivery of sura-vec in patients with wet AMD are expected in 2026</w:t>
      </w:r>
    </w:p>
    <w:p>
      <w:pPr>
        <w:ind w:left="1880" w:right="660" w:hanging="375"/>
        <w:spacing w:after="0" w:line="225" w:lineRule="auto"/>
        <w:tabs>
          <w:tab w:leader="none" w:pos="1880" w:val="left"/>
        </w:tabs>
        <w:numPr>
          <w:ilvl w:val="1"/>
          <w:numId w:val="6"/>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Sura-vec using suprachoroidal delivery for diabetic retinopathy advancing to global pivotal program, supported by positive Phase II trial data</w:t>
      </w: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Conference call today at 8:00 a.m. ET</w:t>
      </w:r>
    </w:p>
    <w:p>
      <w:pPr>
        <w:spacing w:after="0" w:line="198"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ROCKVILLE, Md., August 7, 2025 (PR Newswire) -- REGENXBIO Inc. (Nasdaq: RGNX) today reported financial results and operational highlights for the second quarter ended June 30, 2025.</w:t>
      </w:r>
    </w:p>
    <w:p>
      <w:pPr>
        <w:spacing w:after="0" w:line="15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“Our REGENXBIO team is accelerating multiple first or best-in-class gene therapies designed to improve the lives of patients and families facing serious diseases like Duchenne, Hunter syndrome, and retinal diseases. We continued our strong momentum in the second quarter of 2025, working with urgency to advance multiple pivotal programs, starting with the potential FDA approval of clemidsogene lanparvovec (RGX-121) this November,” said Curran M. Simpson, President and Chief Executive Officer of REGENXBIO. “RGX-202 is progressing rapidly through pivotal study, and today’s announcement of our progress in diabetic retinopathy enables another late-stage program with the goal of preventing vision loss in chronic retinal disease that impacts millions of patients.”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HIGHLIGHTS AND MILESTONES</w:t>
      </w:r>
    </w:p>
    <w:p>
      <w:pPr>
        <w:spacing w:after="0" w:line="202"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b w:val="1"/>
          <w:bCs w:val="1"/>
          <w:color w:val="auto"/>
        </w:rPr>
        <w:t xml:space="preserve">Neuromuscular Disease: </w:t>
      </w:r>
      <w:r>
        <w:rPr>
          <w:rFonts w:ascii="Arial" w:cs="Arial" w:eastAsia="Arial" w:hAnsi="Arial"/>
          <w:sz w:val="20"/>
          <w:szCs w:val="20"/>
          <w:color w:val="auto"/>
        </w:rPr>
        <w:t>RGX-202 is a potential best-in-class gene therapy for Duchenne muscular dystrophy (Duchenne).</w:t>
      </w:r>
      <w:r>
        <w:rPr>
          <w:rFonts w:ascii="Arial" w:cs="Arial" w:eastAsia="Arial" w:hAnsi="Arial"/>
          <w:sz w:val="20"/>
          <w:szCs w:val="20"/>
          <w:b w:val="1"/>
          <w:bCs w:val="1"/>
          <w:color w:val="auto"/>
        </w:rPr>
        <w:t xml:space="preserve"> </w:t>
      </w:r>
      <w:r>
        <w:rPr>
          <w:rFonts w:ascii="Arial" w:cs="Arial" w:eastAsia="Arial" w:hAnsi="Arial"/>
          <w:sz w:val="20"/>
          <w:szCs w:val="20"/>
          <w:color w:val="auto"/>
        </w:rPr>
        <w:t>The RGX-202 program uses a novel, differentiated therapeutic approach designed for improved muscle function and safety outcomes for patients.</w:t>
      </w:r>
    </w:p>
    <w:p>
      <w:pPr>
        <w:ind w:left="760" w:right="60" w:hanging="378"/>
        <w:spacing w:after="0" w:line="205"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The AFFINITY DUCHENNE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pivotal trial of RGX-202 is ongoing in ambulatory patients, and REGENXBIO now expects to complete enrollment of approximately 30 patients aged 1+ in the U.S. and Canada by October 2025.</w:t>
      </w:r>
    </w:p>
    <w:p>
      <w:pPr>
        <w:spacing w:after="0" w:line="2" w:lineRule="exact"/>
        <w:rPr>
          <w:rFonts w:ascii="Times New Roman" w:cs="Times New Roman" w:eastAsia="Times New Roman" w:hAnsi="Times New Roman"/>
          <w:sz w:val="20"/>
          <w:szCs w:val="20"/>
          <w:color w:val="auto"/>
        </w:rPr>
      </w:pPr>
    </w:p>
    <w:p>
      <w:pPr>
        <w:jc w:val="both"/>
        <w:ind w:left="760" w:right="240" w:hanging="37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Following enrollment completion in the pivotal trial, REGENXBIO expects to continue enrollment to support a planned confirmatory trial. Manufacturing of clinical and confirmatory trial supply of RGX-202 is complete, enabling immediate and broad access to patients seeking next-generation, investigational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760" w:right="160" w:hanging="378"/>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Positive Phase I/II data reported in June 2025 continue to demonstrate the potential of RGX-202 to serve as a best-in-class gene therapy for Duchenne. As of May 7, 2025:</w:t>
      </w:r>
    </w:p>
    <w:p>
      <w:pPr>
        <w:spacing w:after="0" w:line="1" w:lineRule="exact"/>
        <w:rPr>
          <w:rFonts w:ascii="Times New Roman" w:cs="Times New Roman" w:eastAsia="Times New Roman" w:hAnsi="Times New Roman"/>
          <w:sz w:val="18"/>
          <w:szCs w:val="18"/>
          <w:color w:val="auto"/>
        </w:rPr>
      </w:pPr>
    </w:p>
    <w:p>
      <w:pPr>
        <w:ind w:left="1500" w:right="280" w:hanging="374"/>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Favorable safety profile with no serious adverse events or adverse events of special interest observed in the</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Phase I/II study</w:t>
      </w:r>
      <w:r>
        <w:rPr>
          <w:rFonts w:ascii="Arial" w:cs="Arial" w:eastAsia="Arial" w:hAnsi="Arial"/>
          <w:sz w:val="20"/>
          <w:szCs w:val="20"/>
          <w:i w:val="1"/>
          <w:iCs w:val="1"/>
          <w:color w:val="auto"/>
        </w:rPr>
        <w:t>;</w:t>
      </w:r>
      <w:r>
        <w:rPr>
          <w:rFonts w:ascii="Arial" w:cs="Arial" w:eastAsia="Arial" w:hAnsi="Arial"/>
          <w:sz w:val="20"/>
          <w:szCs w:val="20"/>
          <w:color w:val="auto"/>
        </w:rPr>
        <w:t xml:space="preserve"> no patients developed signs of liver injury, as assessed by liver function test monitoring.</w:t>
      </w:r>
    </w:p>
    <w:p>
      <w:pPr>
        <w:spacing w:after="0" w:line="1" w:lineRule="exact"/>
        <w:rPr>
          <w:rFonts w:ascii="Times New Roman" w:cs="Times New Roman" w:eastAsia="Times New Roman" w:hAnsi="Times New Roman"/>
          <w:sz w:val="18"/>
          <w:szCs w:val="18"/>
          <w:color w:val="auto"/>
        </w:rPr>
      </w:pPr>
    </w:p>
    <w:p>
      <w:pPr>
        <w:ind w:left="114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All dose level 2 participants exceeded external natural history controls on all functional measures.</w:t>
      </w:r>
    </w:p>
    <w:p>
      <w:pPr>
        <w:ind w:left="1500" w:right="520" w:hanging="374"/>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Biomarker data continued to demonstrate consistent, robust microdystrophin expression and transduction</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levels across all treated ages, with all reported microdystrophin levels to date above the threshold of 10% compared to normal control.</w:t>
      </w:r>
    </w:p>
    <w:p>
      <w:pPr>
        <w:spacing w:after="0" w:line="2"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9"/>
          <w:szCs w:val="19"/>
          <w:color w:val="auto"/>
        </w:rPr>
        <w:t>REGENXBIO expects to share topline data in the first half of 2026 and submit a Biologics License Application (BLA) under the accelerated approval pathway in mid-2026. REGENXBIO plans to initiate commercial supply manufacturing in Q3 2025 to support an expected launch in 2027, when vast majority of the prevalent market is expected to be available.</w:t>
      </w:r>
    </w:p>
    <w:p>
      <w:pPr>
        <w:spacing w:after="0" w:line="161" w:lineRule="exact"/>
        <w:rPr>
          <w:sz w:val="20"/>
          <w:szCs w:val="20"/>
          <w:color w:val="auto"/>
        </w:rPr>
      </w:pPr>
    </w:p>
    <w:p>
      <w:pPr>
        <w:ind w:right="540"/>
        <w:spacing w:after="0" w:line="235" w:lineRule="auto"/>
        <w:rPr>
          <w:sz w:val="20"/>
          <w:szCs w:val="20"/>
          <w:color w:val="auto"/>
        </w:rPr>
      </w:pPr>
      <w:r>
        <w:rPr>
          <w:rFonts w:ascii="Arial" w:cs="Arial" w:eastAsia="Arial" w:hAnsi="Arial"/>
          <w:sz w:val="20"/>
          <w:szCs w:val="20"/>
          <w:b w:val="1"/>
          <w:bCs w:val="1"/>
          <w:color w:val="auto"/>
        </w:rPr>
        <w:t xml:space="preserve">Neurodegenerative Disease: </w:t>
      </w:r>
      <w:r>
        <w:rPr>
          <w:rFonts w:ascii="Arial" w:cs="Arial" w:eastAsia="Arial" w:hAnsi="Arial"/>
          <w:sz w:val="20"/>
          <w:szCs w:val="20"/>
          <w:color w:val="auto"/>
        </w:rPr>
        <w:t>Clemidsogene lanparvovec (RGX-121) is a potential first-in-class treatment for MPS II, also</w:t>
      </w:r>
      <w:r>
        <w:rPr>
          <w:rFonts w:ascii="Arial" w:cs="Arial" w:eastAsia="Arial" w:hAnsi="Arial"/>
          <w:sz w:val="20"/>
          <w:szCs w:val="20"/>
          <w:b w:val="1"/>
          <w:bCs w:val="1"/>
          <w:color w:val="auto"/>
        </w:rPr>
        <w:t xml:space="preserve"> </w:t>
      </w:r>
      <w:r>
        <w:rPr>
          <w:rFonts w:ascii="Arial" w:cs="Arial" w:eastAsia="Arial" w:hAnsi="Arial"/>
          <w:sz w:val="20"/>
          <w:szCs w:val="20"/>
          <w:color w:val="auto"/>
        </w:rPr>
        <w:t>known as Hunter syndrome, being developed and potentially commercialized in partnership with Nippon Shinyaku.</w:t>
      </w:r>
    </w:p>
    <w:p>
      <w:pPr>
        <w:spacing w:after="0" w:line="2" w:lineRule="exact"/>
        <w:rPr>
          <w:sz w:val="20"/>
          <w:szCs w:val="20"/>
          <w:color w:val="auto"/>
        </w:rPr>
      </w:pPr>
    </w:p>
    <w:p>
      <w:pPr>
        <w:ind w:left="760" w:right="500" w:hanging="378"/>
        <w:spacing w:after="0" w:line="225" w:lineRule="auto"/>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In May 2025, the U.S. Food and Drug Administration (FDA) granted priority review of the BLA seeking accelerated approval for clemidsogene lanparvovec for MPS II; Prescription Drug User Fee Act (PDUFA) target action date of November 9, 2025.</w:t>
      </w:r>
    </w:p>
    <w:p>
      <w:pPr>
        <w:ind w:left="760" w:right="280" w:hanging="378"/>
        <w:spacing w:after="0" w:line="224" w:lineRule="auto"/>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The FDA BLA review is progressing as planned; mid-cycle meeting and PLI and BIMO inspections were successfully completed.</w:t>
      </w:r>
    </w:p>
    <w:p>
      <w:pPr>
        <w:spacing w:after="0" w:line="1" w:lineRule="exact"/>
        <w:rPr>
          <w:rFonts w:ascii="Times New Roman" w:cs="Times New Roman" w:eastAsia="Times New Roman" w:hAnsi="Times New Roman"/>
          <w:sz w:val="20"/>
          <w:szCs w:val="20"/>
          <w:color w:val="auto"/>
        </w:rPr>
      </w:pPr>
    </w:p>
    <w:p>
      <w:pPr>
        <w:ind w:left="1500" w:right="6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PLI of in-house REGENXBIO Manufacturing Innovation Center, quality systems and processes completed with</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no observations.</w:t>
      </w:r>
    </w:p>
    <w:p>
      <w:pPr>
        <w:spacing w:after="0" w:line="1" w:lineRule="exact"/>
        <w:rPr>
          <w:rFonts w:ascii="Times New Roman" w:cs="Times New Roman" w:eastAsia="Times New Roman" w:hAnsi="Times New Roman"/>
          <w:sz w:val="20"/>
          <w:szCs w:val="20"/>
          <w:color w:val="auto"/>
        </w:rPr>
      </w:pPr>
    </w:p>
    <w:p>
      <w:pPr>
        <w:ind w:left="114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BIMO inspection of laboratory and clinical data practices completed with no observations.</w:t>
      </w: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FDA approval could result in receipt of a Priority Review Voucher (PRV), to which REGENXBIO has full rights.</w:t>
      </w:r>
    </w:p>
    <w:p>
      <w:pPr>
        <w:spacing w:after="0" w:line="195"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b w:val="1"/>
          <w:bCs w:val="1"/>
          <w:color w:val="auto"/>
        </w:rPr>
        <w:t xml:space="preserve">Retinal Disease: </w:t>
      </w:r>
      <w:r>
        <w:rPr>
          <w:rFonts w:ascii="Arial" w:cs="Arial" w:eastAsia="Arial" w:hAnsi="Arial"/>
          <w:sz w:val="20"/>
          <w:szCs w:val="20"/>
          <w:color w:val="auto"/>
        </w:rPr>
        <w:t>Surabgene lomparvovec (sura-vec, ABBV-RGX-314), developed in collaboration with AbbVie, is potentially</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first-in-class treatment for wet age-related macular degeneration (wet AMD) and diabetic retinopathy (DR).</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DR (Suprachoroidal Delivery)</w:t>
      </w:r>
    </w:p>
    <w:p>
      <w:pPr>
        <w:ind w:left="760" w:hanging="378"/>
        <w:spacing w:after="0" w:line="209"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today announced new data from the Phase II ALTITUDE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and plans to initiate a pivotal program.</w:t>
      </w:r>
    </w:p>
    <w:p>
      <w:pPr>
        <w:ind w:left="1500" w:right="20" w:hanging="369"/>
        <w:spacing w:after="0" w:line="216" w:lineRule="auto"/>
        <w:tabs>
          <w:tab w:leader="none" w:pos="15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Data demonstrate durable safety and efficacy profile observed in patients with non-proliferative DR through two years with a single, in-office injection. As of June 9, 2025, sura-vec was well tolerated at dose levels 1, 2, and 3, with no drug-related serious adverse events. No intraocular inflammation was observed through two years at dose level 3 (1.0x10</w:t>
      </w:r>
      <w:r>
        <w:rPr>
          <w:rFonts w:ascii="Arial" w:cs="Arial" w:eastAsia="Arial" w:hAnsi="Arial"/>
          <w:sz w:val="26"/>
          <w:szCs w:val="26"/>
          <w:color w:val="auto"/>
          <w:vertAlign w:val="superscript"/>
        </w:rPr>
        <w:t>12</w:t>
      </w:r>
      <w:r>
        <w:rPr>
          <w:rFonts w:ascii="Arial" w:cs="Arial" w:eastAsia="Arial" w:hAnsi="Arial"/>
          <w:sz w:val="20"/>
          <w:szCs w:val="20"/>
          <w:color w:val="auto"/>
        </w:rPr>
        <w:t xml:space="preserve"> GC/eye) (n=15) with short-course topical prophylactic steroids.</w:t>
      </w:r>
    </w:p>
    <w:p>
      <w:pPr>
        <w:ind w:left="1500" w:right="600" w:hanging="369"/>
        <w:spacing w:after="0" w:line="239" w:lineRule="auto"/>
        <w:tabs>
          <w:tab w:leader="none" w:pos="15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A two-part placebo-controlled Phase IIb/III trial will be initiated; the primary endpoint will be 2-step DRSS improvement. Site selection is in progress.</w:t>
      </w:r>
    </w:p>
    <w:p>
      <w:pPr>
        <w:ind w:left="760" w:right="340" w:hanging="378"/>
        <w:spacing w:after="0" w:line="208"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20"/>
          <w:szCs w:val="20"/>
          <w:color w:val="auto"/>
        </w:rPr>
        <w:t>The Phase II ALTITUDE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cohort evaluating a one-time, in-office injection of sura-vec at dose level 4 (1.5x10e12 GC/eye) in patients with center-involved diabetic macular edema (DME) is fully enrolled.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Wet AMD (Subretinal Delivery)</w:t>
      </w:r>
    </w:p>
    <w:p>
      <w:pPr>
        <w:spacing w:after="0" w:line="9" w:lineRule="exact"/>
        <w:rPr>
          <w:sz w:val="20"/>
          <w:szCs w:val="20"/>
          <w:color w:val="auto"/>
        </w:rPr>
      </w:pPr>
    </w:p>
    <w:p>
      <w:pPr>
        <w:ind w:left="760" w:right="40" w:hanging="378"/>
        <w:spacing w:after="0" w:line="218"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20"/>
          <w:szCs w:val="20"/>
          <w:color w:val="auto"/>
        </w:rPr>
        <w:t>Enrollment is ongoing in the ATMOSPHERE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ASCENT™ pivotal trials. Topline results are expected in 2026. Sura-vec is on track to be the first approved gene therapy for wet AMD.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Wet AMD (Suprachoroidal Delivery</w:t>
      </w:r>
      <w:r>
        <w:rPr>
          <w:rFonts w:ascii="Arial" w:cs="Arial" w:eastAsia="Arial" w:hAnsi="Arial"/>
          <w:sz w:val="20"/>
          <w:szCs w:val="20"/>
          <w:color w:val="auto"/>
        </w:rPr>
        <w:t>)</w:t>
      </w:r>
    </w:p>
    <w:p>
      <w:pPr>
        <w:spacing w:after="0" w:line="9" w:lineRule="exact"/>
        <w:rPr>
          <w:sz w:val="20"/>
          <w:szCs w:val="20"/>
          <w:color w:val="auto"/>
        </w:rPr>
      </w:pPr>
    </w:p>
    <w:p>
      <w:pPr>
        <w:ind w:left="760" w:hanging="378"/>
        <w:spacing w:after="0" w:line="218"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20"/>
          <w:szCs w:val="20"/>
          <w:color w:val="auto"/>
        </w:rPr>
        <w:t>The Phase II AAVIATE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continues enrolling a new cohort to evaluate sura-vec at dose level 4 (1.5x10e12 GC/eye). Patients in this cohort will also receive short-course prophylactic steroid eye drops.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Royalty Monetization</w:t>
      </w:r>
    </w:p>
    <w:p>
      <w:pPr>
        <w:spacing w:after="0" w:line="6" w:lineRule="exact"/>
        <w:rPr>
          <w:sz w:val="20"/>
          <w:szCs w:val="20"/>
          <w:color w:val="auto"/>
        </w:rPr>
      </w:pPr>
    </w:p>
    <w:p>
      <w:pPr>
        <w:ind w:left="760" w:right="120" w:hanging="378"/>
        <w:spacing w:after="0" w:line="234" w:lineRule="auto"/>
        <w:tabs>
          <w:tab w:leader="none" w:pos="76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In May 2025, REGENXBIO announced the closure of a non-dilutive, limited recourse royalty bond agreement of up to $250 million with Healthcare Royalty (HCRx). Per the agreement, REGENXBIO received $150 million at closing and is eligible to receive an additional $100 million consisting of two separate $50 million tranches.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AbbVie Eye Care Collaboration</w:t>
      </w:r>
    </w:p>
    <w:p>
      <w:pPr>
        <w:spacing w:after="0" w:line="6" w:lineRule="exact"/>
        <w:rPr>
          <w:sz w:val="20"/>
          <w:szCs w:val="20"/>
          <w:color w:val="auto"/>
        </w:rPr>
      </w:pPr>
    </w:p>
    <w:p>
      <w:pPr>
        <w:ind w:left="760" w:right="80" w:hanging="378"/>
        <w:spacing w:after="0" w:line="225" w:lineRule="auto"/>
        <w:tabs>
          <w:tab w:leader="none" w:pos="76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In August 2025, AbbVie and REGENXBIO executed an amendment to the collaboration and license agreement established between the two companies on September 10, 2021. The amendment includes an updated milestone structure for the DR program, under the terms of which AbbVie will pay REGENXBIO $100 million upon first subject dosed in the Phase IIb/III trial and an additional $100 million upon first subject dosed in a second Phase III clinical trial. REGENXBIO will pay for all costs for Phase IIb of the Phase IIb/III trial.</w:t>
      </w:r>
    </w:p>
    <w:p>
      <w:pPr>
        <w:spacing w:after="0" w:line="1" w:lineRule="exact"/>
        <w:rPr>
          <w:rFonts w:ascii="Times New Roman" w:cs="Times New Roman" w:eastAsia="Times New Roman" w:hAnsi="Times New Roman"/>
          <w:sz w:val="20"/>
          <w:szCs w:val="20"/>
          <w:color w:val="auto"/>
        </w:rPr>
      </w:pPr>
    </w:p>
    <w:p>
      <w:pPr>
        <w:ind w:left="760" w:right="80" w:hanging="378"/>
        <w:spacing w:after="0" w:line="232" w:lineRule="auto"/>
        <w:tabs>
          <w:tab w:leader="none" w:pos="76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The amendment also reflects AbbVie’s continued investment across the broader sura-vec program. AbbVie will independently advance and pay all costs for a new Phase III ACHIEVE trial in wet AMD. This randomized controlled trial will assess the potential reduction in injection burden and preservation of long-term vision of sura-vec compared to standard of care.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6" w:lineRule="exact"/>
        <w:rPr>
          <w:sz w:val="20"/>
          <w:szCs w:val="20"/>
          <w:color w:val="auto"/>
        </w:rPr>
      </w:pPr>
    </w:p>
    <w:p>
      <w:pPr>
        <w:jc w:val="both"/>
        <w:ind w:right="80"/>
        <w:spacing w:after="0" w:line="246" w:lineRule="auto"/>
        <w:rPr>
          <w:sz w:val="20"/>
          <w:szCs w:val="20"/>
          <w:color w:val="auto"/>
        </w:rPr>
      </w:pPr>
      <w:r>
        <w:rPr>
          <w:rFonts w:ascii="Arial" w:cs="Arial" w:eastAsia="Arial" w:hAnsi="Arial"/>
          <w:sz w:val="19"/>
          <w:szCs w:val="19"/>
          <w:i w:val="1"/>
          <w:iCs w:val="1"/>
          <w:color w:val="auto"/>
        </w:rPr>
        <w:t xml:space="preserve">Cash Position: </w:t>
      </w:r>
      <w:r>
        <w:rPr>
          <w:rFonts w:ascii="Arial" w:cs="Arial" w:eastAsia="Arial" w:hAnsi="Arial"/>
          <w:sz w:val="19"/>
          <w:szCs w:val="19"/>
          <w:color w:val="auto"/>
        </w:rPr>
        <w:t>Cash, cash equivalents and marketable securities were $ 363.6 million as of June 30, 2025, compared to $244.9</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as of December 31, 2024. The increase was primarily attributable to the $110.0 million upfront payment received under the Nippon Shinyaku partnership in March 2025 and $144.5 million in net proceeds received from the royalty monetization with HCRx in May 2025, and was partially offset by cash used to fund operating activities during the first half of 2025.</w:t>
      </w:r>
    </w:p>
    <w:p>
      <w:pPr>
        <w:spacing w:after="0" w:line="166" w:lineRule="exact"/>
        <w:rPr>
          <w:sz w:val="20"/>
          <w:szCs w:val="20"/>
          <w:color w:val="auto"/>
        </w:rPr>
      </w:pPr>
    </w:p>
    <w:p>
      <w:pPr>
        <w:ind w:right="300"/>
        <w:spacing w:after="0" w:line="234" w:lineRule="auto"/>
        <w:rPr>
          <w:sz w:val="20"/>
          <w:szCs w:val="20"/>
          <w:color w:val="auto"/>
        </w:rPr>
      </w:pPr>
      <w:r>
        <w:rPr>
          <w:rFonts w:ascii="Arial" w:cs="Arial" w:eastAsia="Arial" w:hAnsi="Arial"/>
          <w:sz w:val="20"/>
          <w:szCs w:val="20"/>
          <w:i w:val="1"/>
          <w:iCs w:val="1"/>
          <w:color w:val="auto"/>
        </w:rPr>
        <w:t xml:space="preserve">Revenues: </w:t>
      </w:r>
      <w:r>
        <w:rPr>
          <w:rFonts w:ascii="Arial" w:cs="Arial" w:eastAsia="Arial" w:hAnsi="Arial"/>
          <w:sz w:val="20"/>
          <w:szCs w:val="20"/>
          <w:color w:val="auto"/>
        </w:rPr>
        <w:t>Revenues were $21.4 million for the three months ended June 30, 2025, compared to $22.3 million for the three</w:t>
      </w:r>
      <w:r>
        <w:rPr>
          <w:rFonts w:ascii="Arial" w:cs="Arial" w:eastAsia="Arial" w:hAnsi="Arial"/>
          <w:sz w:val="20"/>
          <w:szCs w:val="20"/>
          <w:i w:val="1"/>
          <w:iCs w:val="1"/>
          <w:color w:val="auto"/>
        </w:rPr>
        <w:t xml:space="preserve"> </w:t>
      </w:r>
      <w:r>
        <w:rPr>
          <w:rFonts w:ascii="Arial" w:cs="Arial" w:eastAsia="Arial" w:hAnsi="Arial"/>
          <w:sz w:val="20"/>
          <w:szCs w:val="20"/>
          <w:color w:val="auto"/>
        </w:rPr>
        <w:t>months ended June 30, 2024. The decrease was primarily attributable to Zolgensma royalties, which decreased from $ 21.8 million for the second quarter of 2024 to $18.4 million for the second quarter of 2025. The decrease was partially offset by an increase in service revenues, driven primarily by $2.7 million of development service revenue under the Nippon Shinyaku partnership in the second quarter of 2025.</w:t>
      </w:r>
    </w:p>
    <w:p>
      <w:pPr>
        <w:spacing w:after="0" w:line="175"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i w:val="1"/>
          <w:iCs w:val="1"/>
          <w:color w:val="auto"/>
        </w:rPr>
        <w:t>Research and Development Expenses</w:t>
      </w:r>
      <w:r>
        <w:rPr>
          <w:rFonts w:ascii="Arial" w:cs="Arial" w:eastAsia="Arial" w:hAnsi="Arial"/>
          <w:sz w:val="20"/>
          <w:szCs w:val="20"/>
          <w:color w:val="auto"/>
        </w:rPr>
        <w:t>: Research and development expenses were $59.5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2025, compared to $48.9 million for the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ind w:right="540"/>
        <w:spacing w:after="0" w:line="257" w:lineRule="auto"/>
        <w:rPr>
          <w:sz w:val="20"/>
          <w:szCs w:val="20"/>
          <w:color w:val="auto"/>
        </w:rPr>
      </w:pPr>
      <w:r>
        <w:rPr>
          <w:rFonts w:ascii="Arial" w:cs="Arial" w:eastAsia="Arial" w:hAnsi="Arial"/>
          <w:sz w:val="20"/>
          <w:szCs w:val="20"/>
          <w:color w:val="auto"/>
        </w:rPr>
        <w:t>months ended June 30, 2024. The increase was primarily attributable to manufacturing-related expenses and other clinical supply costs and clinical trial expenses for sura-vec and RGX-202 pivotal trials.</w:t>
      </w:r>
    </w:p>
    <w:p>
      <w:pPr>
        <w:spacing w:after="0" w:line="15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General and administrative expenses were $19.9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2025, compared to $18.9 million for the three months ended June 30, 2024. The increase was primarily attributable to personnel-related costs and expenses for consulting and professional services.</w:t>
      </w:r>
    </w:p>
    <w:p>
      <w:pPr>
        <w:spacing w:after="0" w:line="171"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loss was $70.9 million, or $1.38 basic and diluted net loss per share, for the three months ended June 30,</w:t>
      </w:r>
      <w:r>
        <w:rPr>
          <w:rFonts w:ascii="Arial" w:cs="Arial" w:eastAsia="Arial" w:hAnsi="Arial"/>
          <w:sz w:val="20"/>
          <w:szCs w:val="20"/>
          <w:i w:val="1"/>
          <w:iCs w:val="1"/>
          <w:color w:val="auto"/>
        </w:rPr>
        <w:t xml:space="preserve"> </w:t>
      </w:r>
      <w:r>
        <w:rPr>
          <w:rFonts w:ascii="Arial" w:cs="Arial" w:eastAsia="Arial" w:hAnsi="Arial"/>
          <w:sz w:val="20"/>
          <w:szCs w:val="20"/>
          <w:color w:val="auto"/>
        </w:rPr>
        <w:t>2025, compared to a net loss of $53.0 million, or $1.05 basic and diluted net loss per share, for the three months ended June 30, 2024.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REGENXBIO expects its balance in cash, cash equivalents and marketable securities of $363.6 million as of June 30, 2025 to fund its operations into early 2027. This cash runway guidance is based on the Company’s current operational plans and excludes the impact of any material payments that may potentially be received from partners or licensees upon the achievement of development or regulatory milestones, or upon the approval or commercialization of product candidates, and excludes potential monetization of a PRV that would be received upon potential approval of clemidsogene lanparvovec.</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6"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In connection with this announcement, REGENXBIO will host a conference call and webcast at 8:00 a.m. ET today. Listeners can register for the webcast via this link. Analysts wishing to participate in the question and answer session should access the live call by dialing (646) 307-1963 (domestic) or (800) 715-9871 (international) and enter the passcode 9571992. A replay of the webcast will be available via the company’s investor website approximately two hours after the call’s conclusion. Those who plan on participating are advised to join 15 minutes prior to the start time.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clemidsogene lanparvovec (RGX-121) for the treatment of MPS II and RGX-111 for the treatment of MPS I, both in partnership with Nippon Shinyaku; and surabgene lomparvovec (ABBV-RGX-314) for the treatment of wet AMD and diabetic retinopathy, in collaboration with AbbVie. Thousands of patients have been treated with REGENXBIO's AAV platform, including those receiving Novartis' ZOLGENSMA</w:t>
      </w:r>
      <w:r>
        <w:rPr>
          <w:rFonts w:ascii="Arial" w:cs="Arial" w:eastAsia="Arial" w:hAnsi="Arial"/>
          <w:sz w:val="26"/>
          <w:szCs w:val="26"/>
          <w:color w:val="auto"/>
          <w:vertAlign w:val="superscript"/>
        </w:rPr>
        <w:t>®</w:t>
      </w:r>
      <w:r>
        <w:rPr>
          <w:rFonts w:ascii="Arial" w:cs="Arial" w:eastAsia="Arial" w:hAnsi="Arial"/>
          <w:sz w:val="20"/>
          <w:szCs w:val="20"/>
          <w:color w:val="auto"/>
        </w:rPr>
        <w:t>. REGENXBIO's investigational gene therapies have the potential to change the way healthcare is delivered for millions of people. For more information, please visit www.REGENXBIO.com.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320"/>
        <w:spacing w:after="0" w:line="231"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line="227" w:lineRule="auto"/>
        <w:rPr>
          <w:sz w:val="20"/>
          <w:szCs w:val="20"/>
          <w:color w:val="auto"/>
        </w:rPr>
      </w:pPr>
      <w:r>
        <w:rPr>
          <w:rFonts w:ascii="Arial" w:cs="Arial" w:eastAsia="Arial" w:hAnsi="Arial"/>
          <w:sz w:val="20"/>
          <w:szCs w:val="20"/>
          <w:color w:val="auto"/>
        </w:rPr>
        <w:t xml:space="preserve">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2024,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u w:val="single" w:color="auto"/>
          <w:color w:val="0563C1"/>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189" w:lineRule="exact"/>
        <w:rPr>
          <w:sz w:val="20"/>
          <w:szCs w:val="20"/>
          <w:color w:val="auto"/>
        </w:rPr>
      </w:pPr>
    </w:p>
    <w:p>
      <w:pPr>
        <w:ind w:right="660"/>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Gene Therapies. All other trademarks referenced herein are registered trademarks of REGENXBIO.</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u w:val="single" w:color="auto"/>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REGENXBIO INC.</w:t>
      </w:r>
    </w:p>
    <w:p>
      <w:pPr>
        <w:jc w:val="center"/>
        <w:spacing w:after="0" w:line="231" w:lineRule="auto"/>
        <w:rPr>
          <w:sz w:val="20"/>
          <w:szCs w:val="20"/>
          <w:color w:val="auto"/>
        </w:rPr>
      </w:pPr>
      <w:r>
        <w:rPr>
          <w:rFonts w:ascii="Arial" w:cs="Arial" w:eastAsia="Arial" w:hAnsi="Arial"/>
          <w:sz w:val="20"/>
          <w:szCs w:val="20"/>
          <w:b w:val="1"/>
          <w:bCs w:val="1"/>
          <w:color w:val="auto"/>
        </w:rPr>
        <w:t>CONSOLIDATED BALANCE SHEETS</w:t>
      </w:r>
    </w:p>
    <w:p>
      <w:pPr>
        <w:jc w:val="center"/>
        <w:spacing w:after="0" w:line="226" w:lineRule="auto"/>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2025</w:t>
            </w:r>
          </w:p>
        </w:tc>
        <w:tc>
          <w:tcPr>
            <w:tcW w:w="200" w:type="dxa"/>
            <w:vAlign w:val="bottom"/>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79,558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57,526</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243,740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177,161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20,199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20,473</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10,776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9,067</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19,479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373,752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278,001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40,296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10,179</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111,017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117,589</w:t>
            </w: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50,469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53,716</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4,000</w:t>
            </w:r>
          </w:p>
        </w:tc>
        <w:tc>
          <w:tcPr>
            <w:tcW w:w="100" w:type="dxa"/>
            <w:vAlign w:val="bottom"/>
          </w:tcPr>
          <w:p>
            <w:pPr>
              <w:spacing w:after="0"/>
              <w:rPr>
                <w:sz w:val="17"/>
                <w:szCs w:val="17"/>
                <w:color w:val="auto"/>
              </w:rPr>
            </w:pPr>
          </w:p>
        </w:tc>
      </w:tr>
      <w:tr>
        <w:trPr>
          <w:trHeight w:val="236"/>
        </w:trPr>
        <w:tc>
          <w:tcPr>
            <w:tcW w:w="56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w:t>
            </w:r>
          </w:p>
        </w:tc>
        <w:tc>
          <w:tcPr>
            <w:tcW w:w="17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581,027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465,989</w:t>
            </w:r>
          </w:p>
        </w:tc>
        <w:tc>
          <w:tcPr>
            <w:tcW w:w="100" w:type="dxa"/>
            <w:vAlign w:val="bottom"/>
            <w:shd w:val="clear" w:color="auto" w:fill="CFF0FC"/>
          </w:tcPr>
          <w:p>
            <w:pPr>
              <w:spacing w:after="0"/>
              <w:rPr>
                <w:sz w:val="20"/>
                <w:szCs w:val="20"/>
                <w:color w:val="auto"/>
              </w:rPr>
            </w:pPr>
          </w:p>
        </w:tc>
      </w:tr>
      <w:tr>
        <w:trPr>
          <w:trHeight w:val="183"/>
        </w:trPr>
        <w:tc>
          <w:tcPr>
            <w:tcW w:w="56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21,655</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22,798</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35,557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38,070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13,977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7,902</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40,302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34,309</w:t>
            </w:r>
          </w:p>
        </w:tc>
        <w:tc>
          <w:tcPr>
            <w:tcW w:w="100" w:type="dxa"/>
            <w:vAlign w:val="bottom"/>
          </w:tcPr>
          <w:p>
            <w:pPr>
              <w:spacing w:after="0"/>
              <w:rPr>
                <w:sz w:val="17"/>
                <w:szCs w:val="17"/>
                <w:color w:val="auto"/>
              </w:rPr>
            </w:pPr>
          </w:p>
        </w:tc>
      </w:tr>
      <w:tr>
        <w:trPr>
          <w:trHeight w:val="196"/>
        </w:trPr>
        <w:tc>
          <w:tcPr>
            <w:tcW w:w="56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119,540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103,194</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23,804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69,647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74,131</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153,693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25,378</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1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367,348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206,338</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660" w:type="dxa"/>
            <w:vAlign w:val="bottom"/>
          </w:tcPr>
          <w:p>
            <w:pPr>
              <w:ind w:left="180"/>
              <w:spacing w:after="0" w:line="183" w:lineRule="exact"/>
              <w:rPr>
                <w:sz w:val="20"/>
                <w:szCs w:val="20"/>
                <w:color w:val="auto"/>
              </w:rPr>
            </w:pPr>
            <w:r>
              <w:rPr>
                <w:rFonts w:ascii="Arial" w:cs="Arial" w:eastAsia="Arial" w:hAnsi="Arial"/>
                <w:sz w:val="18"/>
                <w:szCs w:val="18"/>
                <w:color w:val="auto"/>
              </w:rPr>
              <w:t>Preferred stock; no shares issued and outstanding</w:t>
            </w: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660" w:type="dxa"/>
            <w:vAlign w:val="bottom"/>
          </w:tcPr>
          <w:p>
            <w:pPr>
              <w:ind w:left="340"/>
              <w:spacing w:after="0"/>
              <w:rPr>
                <w:sz w:val="20"/>
                <w:szCs w:val="20"/>
                <w:color w:val="auto"/>
              </w:rPr>
            </w:pPr>
            <w:r>
              <w:rPr>
                <w:rFonts w:ascii="Arial" w:cs="Arial" w:eastAsia="Arial" w:hAnsi="Arial"/>
                <w:sz w:val="18"/>
                <w:szCs w:val="18"/>
                <w:color w:val="auto"/>
              </w:rPr>
              <w:t>at June 30, 2025 and December 31, 2024</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566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Common stock; 50,389 and 49,549 shares issued</w:t>
            </w: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66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outstanding at June 30, 2025 and</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5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2024, respectively</w:t>
            </w: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1,211,361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1,192,536</w:t>
            </w:r>
          </w:p>
        </w:tc>
        <w:tc>
          <w:tcPr>
            <w:tcW w:w="100" w:type="dxa"/>
            <w:vAlign w:val="bottom"/>
          </w:tcPr>
          <w:p>
            <w:pPr>
              <w:spacing w:after="0"/>
              <w:rPr>
                <w:sz w:val="17"/>
                <w:szCs w:val="17"/>
                <w:color w:val="auto"/>
              </w:rPr>
            </w:pPr>
          </w:p>
        </w:tc>
      </w:tr>
      <w:tr>
        <w:trPr>
          <w:trHeight w:val="202"/>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(750)</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(741)</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(996,937)</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(932,149)</w:t>
            </w:r>
          </w:p>
        </w:tc>
      </w:tr>
      <w:tr>
        <w:trPr>
          <w:trHeight w:val="196"/>
        </w:trPr>
        <w:tc>
          <w:tcPr>
            <w:tcW w:w="566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stockholders’ equity</w:t>
            </w:r>
          </w:p>
        </w:tc>
        <w:tc>
          <w:tcPr>
            <w:tcW w:w="1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213,679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259,651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7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581,027</w:t>
            </w:r>
          </w:p>
        </w:tc>
        <w:tc>
          <w:tcPr>
            <w:tcW w:w="2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465,989</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56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-5262880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-5262880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-4217035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-4199890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-2639695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-1207770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REGENXBIO INC.</w:t>
      </w:r>
    </w:p>
    <w:p>
      <w:pPr>
        <w:jc w:val="center"/>
        <w:spacing w:after="0" w:line="231" w:lineRule="auto"/>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Six Months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5"/>
                <w:szCs w:val="15"/>
                <w:color w:val="auto"/>
              </w:rPr>
            </w:pPr>
          </w:p>
        </w:tc>
      </w:tr>
      <w:tr>
        <w:trPr>
          <w:trHeight w:val="156"/>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License and royalty revenue</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18,465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21,846</w:t>
            </w:r>
          </w:p>
        </w:tc>
        <w:tc>
          <w:tcPr>
            <w:tcW w:w="1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105,514</w:t>
            </w:r>
          </w:p>
        </w:tc>
        <w:tc>
          <w:tcPr>
            <w:tcW w:w="10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37,190</w:t>
            </w:r>
          </w:p>
        </w:tc>
        <w:tc>
          <w:tcPr>
            <w:tcW w:w="100" w:type="dxa"/>
            <w:vAlign w:val="bottom"/>
          </w:tcPr>
          <w:p>
            <w:pPr>
              <w:spacing w:after="0"/>
              <w:rPr>
                <w:sz w:val="14"/>
                <w:szCs w:val="14"/>
                <w:color w:val="auto"/>
              </w:rPr>
            </w:pPr>
          </w:p>
        </w:tc>
      </w:tr>
      <w:tr>
        <w:trPr>
          <w:trHeight w:val="162"/>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Service revenue</w:t>
            </w:r>
          </w:p>
        </w:tc>
        <w:tc>
          <w:tcPr>
            <w:tcW w:w="5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2,894</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4,857</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Total revenues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21,359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22,295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110,371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37,917</w:t>
            </w:r>
          </w:p>
        </w:tc>
        <w:tc>
          <w:tcPr>
            <w:tcW w:w="100" w:type="dxa"/>
            <w:vAlign w:val="bottom"/>
          </w:tcPr>
          <w:p>
            <w:pPr>
              <w:spacing w:after="0"/>
              <w:rPr>
                <w:sz w:val="13"/>
                <w:szCs w:val="13"/>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Expenses</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Cost of license and royalty revenues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14,862</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Research and development</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112,587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103,713</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37,146</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Impairment of long-lived assets</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Other operating expenses (income)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r>
      <w:tr>
        <w:trPr>
          <w:trHeight w:val="155"/>
        </w:trPr>
        <w:tc>
          <w:tcPr>
            <w:tcW w:w="484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operating expenses</w:t>
            </w:r>
          </w:p>
        </w:tc>
        <w:tc>
          <w:tcPr>
            <w:tcW w:w="5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84,637</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78,332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161,522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157,817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Loss from operations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(63,278)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(56,037)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(51,151)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(119,900)</w:t>
            </w: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Income (Expense)</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Interest income from licensing</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Investment income</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5,937</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(10,993)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(19,563)</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(2,422)</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84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income (expense)</w:t>
            </w:r>
          </w:p>
        </w:tc>
        <w:tc>
          <w:tcPr>
            <w:tcW w:w="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(7,593)</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3,048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(13,637)</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3,581</w:t>
            </w:r>
          </w:p>
        </w:tc>
        <w:tc>
          <w:tcPr>
            <w:tcW w:w="100" w:type="dxa"/>
            <w:vAlign w:val="bottom"/>
            <w:shd w:val="clear" w:color="auto" w:fill="CFF0FC"/>
          </w:tcPr>
          <w:p>
            <w:pPr>
              <w:spacing w:after="0"/>
              <w:rPr>
                <w:sz w:val="13"/>
                <w:szCs w:val="13"/>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(70,871)</w:t>
            </w:r>
          </w:p>
        </w:tc>
        <w:tc>
          <w:tcPr>
            <w:tcW w:w="120" w:type="dxa"/>
            <w:vAlign w:val="bottom"/>
          </w:tcPr>
          <w:p>
            <w:pPr>
              <w:spacing w:after="0"/>
              <w:rPr>
                <w:sz w:val="13"/>
                <w:szCs w:val="13"/>
                <w:color w:val="auto"/>
              </w:rPr>
            </w:pPr>
          </w:p>
        </w:tc>
        <w:tc>
          <w:tcPr>
            <w:tcW w:w="460" w:type="dxa"/>
            <w:vAlign w:val="bottom"/>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(52,989)</w:t>
            </w:r>
          </w:p>
        </w:tc>
        <w:tc>
          <w:tcPr>
            <w:tcW w:w="3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(64,788)</w:t>
            </w:r>
          </w:p>
        </w:tc>
        <w:tc>
          <w:tcPr>
            <w:tcW w:w="5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(116,319)</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4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Income (Loss)</w:t>
            </w: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Unrealized gain (loss) on available-for-sale securities, net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4"/>
                <w:szCs w:val="14"/>
                <w:color w:val="auto"/>
              </w:rPr>
            </w:pP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484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comprehensive income (loss)</w:t>
            </w:r>
          </w:p>
        </w:tc>
        <w:tc>
          <w:tcPr>
            <w:tcW w:w="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2,163</w:t>
            </w:r>
          </w:p>
        </w:tc>
        <w:tc>
          <w:tcPr>
            <w:tcW w:w="100" w:type="dxa"/>
            <w:vAlign w:val="bottom"/>
            <w:shd w:val="clear" w:color="auto" w:fill="CFF0FC"/>
          </w:tcPr>
          <w:p>
            <w:pPr>
              <w:spacing w:after="0"/>
              <w:rPr>
                <w:sz w:val="13"/>
                <w:szCs w:val="13"/>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(70,859)</w:t>
            </w:r>
          </w:p>
        </w:tc>
        <w:tc>
          <w:tcPr>
            <w:tcW w:w="120" w:type="dxa"/>
            <w:vAlign w:val="bottom"/>
          </w:tcPr>
          <w:p>
            <w:pPr>
              <w:spacing w:after="0"/>
              <w:rPr>
                <w:sz w:val="13"/>
                <w:szCs w:val="13"/>
                <w:color w:val="auto"/>
              </w:rPr>
            </w:pPr>
          </w:p>
        </w:tc>
        <w:tc>
          <w:tcPr>
            <w:tcW w:w="460" w:type="dxa"/>
            <w:vAlign w:val="bottom"/>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(52,026)</w:t>
            </w:r>
          </w:p>
        </w:tc>
        <w:tc>
          <w:tcPr>
            <w:tcW w:w="3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(64,797)</w:t>
            </w:r>
          </w:p>
        </w:tc>
        <w:tc>
          <w:tcPr>
            <w:tcW w:w="5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(114,156)</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Net loss per share, basic and diluted</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(2.41)</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40" w:type="dxa"/>
            <w:vAlign w:val="bottom"/>
            <w:tcBorders>
              <w:bottom w:val="single" w:sz="8" w:color="CFF0FC"/>
            </w:tcBorders>
            <w:shd w:val="clear" w:color="auto" w:fill="CFF0FC"/>
          </w:tcPr>
          <w:p>
            <w:pPr>
              <w:ind w:left="100"/>
              <w:spacing w:after="0" w:line="143" w:lineRule="exact"/>
              <w:rPr>
                <w:sz w:val="20"/>
                <w:szCs w:val="20"/>
                <w:color w:val="auto"/>
              </w:rPr>
            </w:pPr>
            <w:r>
              <w:rPr>
                <w:rFonts w:ascii="Arial" w:cs="Arial" w:eastAsia="Arial" w:hAnsi="Arial"/>
                <w:sz w:val="14"/>
                <w:szCs w:val="14"/>
                <w:color w:val="auto"/>
              </w:rPr>
              <w:t>Weighted-average common shares outstanding, basic and diluted</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51,483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50,601</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51,423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48,167</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-2425065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-2425065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-2425065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-1585595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-1585595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-1585595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-950595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-950595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-950595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-496570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-496570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-496570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817370" cy="316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REGENXBIO Announces Pivotal Program for Surabgene Lomparvovec in Diabetic Retinopathy</w:t>
      </w:r>
    </w:p>
    <w:p>
      <w:pPr>
        <w:spacing w:after="0" w:line="180"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A pivotal Phase IIb/III clinical trial using suprachoroidal delivery for treatment of diabetic retinopathy will be initiated</w:t>
      </w:r>
    </w:p>
    <w:p>
      <w:pPr>
        <w:spacing w:after="0" w:line="30" w:lineRule="exact"/>
        <w:rPr>
          <w:rFonts w:ascii="Times New Roman" w:cs="Times New Roman" w:eastAsia="Times New Roman" w:hAnsi="Times New Roman"/>
          <w:sz w:val="20"/>
          <w:szCs w:val="20"/>
          <w:color w:val="auto"/>
        </w:rPr>
      </w:pPr>
    </w:p>
    <w:p>
      <w:pPr>
        <w:ind w:left="760" w:right="160" w:hanging="378"/>
        <w:spacing w:after="0" w:line="202" w:lineRule="auto"/>
        <w:tabs>
          <w:tab w:leader="none" w:pos="76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New Phase II ALTITUDE</w:t>
      </w:r>
      <w:r>
        <w:rPr>
          <w:rFonts w:ascii="Arial" w:cs="Arial" w:eastAsia="Arial" w:hAnsi="Arial"/>
          <w:sz w:val="26"/>
          <w:szCs w:val="26"/>
          <w:i w:val="1"/>
          <w:iCs w:val="1"/>
          <w:color w:val="auto"/>
          <w:vertAlign w:val="superscript"/>
        </w:rPr>
        <w:t>®</w:t>
      </w:r>
      <w:r>
        <w:rPr>
          <w:rFonts w:ascii="Arial" w:cs="Arial" w:eastAsia="Arial" w:hAnsi="Arial"/>
          <w:sz w:val="20"/>
          <w:szCs w:val="20"/>
          <w:i w:val="1"/>
          <w:iCs w:val="1"/>
          <w:color w:val="auto"/>
        </w:rPr>
        <w:t xml:space="preserve"> trial data demonstrate a durable safety and efficacy profile observed through two years with a single, in-office injection of surabgene lomparvovec in subjects with non-proliferative diabetic retinopathy</w:t>
      </w:r>
    </w:p>
    <w:p>
      <w:pPr>
        <w:ind w:left="760" w:right="400" w:hanging="378"/>
        <w:spacing w:after="0" w:line="239" w:lineRule="auto"/>
        <w:tabs>
          <w:tab w:leader="none" w:pos="76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REGENXBIO to receive $100 million upon first subject dosed in the Phase IIb/III clinical trial and an additional $100 million upon first subject dosed in a second Phase III clinical trial</w:t>
      </w:r>
    </w:p>
    <w:p>
      <w:pPr>
        <w:spacing w:after="0" w:line="169"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b w:val="1"/>
          <w:bCs w:val="1"/>
          <w:color w:val="auto"/>
        </w:rPr>
        <w:t xml:space="preserve">ROCKVILLE, Md., </w:t>
      </w:r>
      <w:r>
        <w:rPr>
          <w:rFonts w:ascii="Arial" w:cs="Arial" w:eastAsia="Arial" w:hAnsi="Arial"/>
          <w:sz w:val="20"/>
          <w:szCs w:val="20"/>
          <w:color w:val="auto"/>
        </w:rPr>
        <w:t>August 7, 2025 – REGENXBIO Inc. (Nasdaq: RGNX) today announced it will initiate a pivotal Phase IIb/III</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trial for investigational surabgene lomparvovec (sura-vec, ABBV-RGX-314) in diabetic retinopathy (DR) using suprachoroidal delivery and a corresponding amendment to its eyecare collaboration with AbbVie.</w:t>
      </w:r>
    </w:p>
    <w:p>
      <w:pPr>
        <w:spacing w:after="0" w:line="181" w:lineRule="exact"/>
        <w:rPr>
          <w:sz w:val="20"/>
          <w:szCs w:val="20"/>
          <w:color w:val="auto"/>
        </w:rPr>
      </w:pPr>
    </w:p>
    <w:p>
      <w:pPr>
        <w:ind w:right="100"/>
        <w:spacing w:after="0" w:line="217" w:lineRule="auto"/>
        <w:rPr>
          <w:sz w:val="20"/>
          <w:szCs w:val="20"/>
          <w:color w:val="auto"/>
        </w:rPr>
      </w:pPr>
      <w:r>
        <w:rPr>
          <w:rFonts w:ascii="Arial" w:cs="Arial" w:eastAsia="Arial" w:hAnsi="Arial"/>
          <w:sz w:val="20"/>
          <w:szCs w:val="20"/>
          <w:color w:val="auto"/>
        </w:rPr>
        <w:t>This clinical advancement follows new, positive two-year data from the Phase II ALTITUDE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and long-term follow-up study, which enables the initiation of a global clinical program for DR.</w:t>
      </w:r>
    </w:p>
    <w:p>
      <w:pPr>
        <w:spacing w:after="0" w:line="17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“Advancing our DR program to late-stage development brings sura-vec closer to being a potentially transformative new treatment for the millions of people living with DR,” said Steve Pakola, M.D., Chief Medical Officer, REGENXBIO. “We remain committed to advancing this program to maximize its value and impact for patients worldwide.”</w:t>
      </w:r>
    </w:p>
    <w:p>
      <w:pPr>
        <w:spacing w:after="0" w:line="171"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color w:val="auto"/>
        </w:rPr>
        <w:t>“DR is a progressive disease, with most patients eventually developing vision threatening events (VTEs) and is the leading cause of blindness among working age adults,” said Primal Kaur, M.D., Senior Vice President, Global Development of Immunology, Neuroscience, Eye Care and Specialty, AbbVie. “We are excited to advance this clinical development program with the goal of helping to address these unmet needs and bring an additional option to patients living with DR.”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II / Long-Term Follow-Up Clinical Data and Pivotal Program Update*</w:t>
      </w:r>
    </w:p>
    <w:p>
      <w:pPr>
        <w:spacing w:after="0" w:line="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In the Phase II ALTITUDE trial, sura-vec was well tolerated in subjects with non-proliferative diabetic retinopathy (NPDR) at dose levels 1, 2, and 3. As of June 9, 2025, there were no drug-related serious adverse events. No intraocular inflammation was observed through two years at dose level 3 (1.0x10</w:t>
      </w:r>
      <w:r>
        <w:rPr>
          <w:rFonts w:ascii="Arial" w:cs="Arial" w:eastAsia="Arial" w:hAnsi="Arial"/>
          <w:sz w:val="26"/>
          <w:szCs w:val="26"/>
          <w:color w:val="auto"/>
          <w:vertAlign w:val="superscript"/>
        </w:rPr>
        <w:t>12</w:t>
      </w:r>
      <w:r>
        <w:rPr>
          <w:rFonts w:ascii="Arial" w:cs="Arial" w:eastAsia="Arial" w:hAnsi="Arial"/>
          <w:sz w:val="20"/>
          <w:szCs w:val="20"/>
          <w:color w:val="auto"/>
        </w:rPr>
        <w:t xml:space="preserve"> GC/eye) (n = 15) with short-course topical prophylactic steroids.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Updated Phase II ALTITUDE results will be presented at a future medical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line="19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 xml:space="preserve">A pivotal two-part placebo-controlled Phase IIb/III trial will be initiated. Supported by the Phase II dose level 3 data, the primary endpoint will be </w:t>
      </w:r>
      <w:r>
        <w:rPr>
          <w:rFonts w:ascii="Arial" w:cs="Arial" w:eastAsia="Arial" w:hAnsi="Arial"/>
          <w:sz w:val="20"/>
          <w:szCs w:val="20"/>
          <w:u w:val="single" w:color="auto"/>
          <w:color w:val="auto"/>
        </w:rPr>
        <w:t>&gt;</w:t>
      </w:r>
      <w:r>
        <w:rPr>
          <w:rFonts w:ascii="Arial" w:cs="Arial" w:eastAsia="Arial" w:hAnsi="Arial"/>
          <w:sz w:val="20"/>
          <w:szCs w:val="20"/>
          <w:color w:val="auto"/>
        </w:rPr>
        <w:t xml:space="preserve"> 2-step DRSS improvement at 1 year. Site selection is in progress.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Update</w:t>
      </w:r>
    </w:p>
    <w:p>
      <w:pPr>
        <w:spacing w:after="0" w:line="6" w:lineRule="exact"/>
        <w:rPr>
          <w:sz w:val="20"/>
          <w:szCs w:val="20"/>
          <w:color w:val="auto"/>
        </w:rPr>
      </w:pPr>
    </w:p>
    <w:p>
      <w:pPr>
        <w:ind w:right="320"/>
        <w:spacing w:after="0" w:line="231" w:lineRule="auto"/>
        <w:rPr>
          <w:sz w:val="20"/>
          <w:szCs w:val="20"/>
          <w:color w:val="auto"/>
        </w:rPr>
      </w:pPr>
      <w:r>
        <w:rPr>
          <w:rFonts w:ascii="Arial" w:cs="Arial" w:eastAsia="Arial" w:hAnsi="Arial"/>
          <w:sz w:val="20"/>
          <w:szCs w:val="20"/>
          <w:color w:val="auto"/>
        </w:rPr>
        <w:t>AbbVie and REGENXBIO executed an amendment to the collaboration and license agreement established between the two companies on September 10, 2021. The amendment includes an updated milestone structure for the DR program, under the terms of which AbbVie will pay REGENXBIO $100 million upon first subject dosed in the Phase IIb/III trial and an additional $100 million upon first subject dosed in a second Phase III clinical trial. REGENXBIO will pay for all costs for Phase IIb of the Phase IIb/III trial.</w:t>
      </w:r>
    </w:p>
    <w:p>
      <w:pPr>
        <w:spacing w:after="0" w:line="171"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color w:val="auto"/>
        </w:rPr>
        <w:t>The amendment also reflects AbbVie’s continued investment across the broader sura-vec program. AbbVie will independently advance and pay all costs for a new Phase III ACHIEVE trial in wet AMD. This randomized controlled trial will assess the potential reduction in injection burden and preservation of long-term vision of sura-vec compared to standard of care.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Surabgene Lomparvovec (sura-vec, ABBV-RGX-314)</w:t>
      </w:r>
    </w:p>
    <w:p>
      <w:pPr>
        <w:spacing w:after="0" w:line="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Sura-vec is being investigated as a potential one-time treatment for wet AMD, diabetic retinopathy and other chronic retinal conditions. Sura-vec consists of the NAV</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AAV8 vector, which encodes an antibody fragment designed to inhibit vascular endothelial growth factor (VEGF). Sura-vec is believed to inhibit the VEGF pathway by which new, leaky blood vessels grow and contribute to the accumulation of fluid in the retina.</w:t>
      </w:r>
      <w:r>
        <w:rPr>
          <w:rFonts w:ascii="Arial" w:cs="Arial" w:eastAsia="Arial" w:hAnsi="Arial"/>
          <w:sz w:val="26"/>
          <w:szCs w:val="26"/>
          <w:color w:val="auto"/>
          <w:vertAlign w:val="superscript"/>
        </w:rPr>
        <w:t>1</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Diabetic Retinopathy</w:t>
      </w:r>
    </w:p>
    <w:p>
      <w:pPr>
        <w:spacing w:after="0" w:line="11" w:lineRule="exact"/>
        <w:rPr>
          <w:sz w:val="20"/>
          <w:szCs w:val="20"/>
          <w:color w:val="auto"/>
        </w:rPr>
      </w:pPr>
    </w:p>
    <w:p>
      <w:pPr>
        <w:ind w:right="80"/>
        <w:spacing w:after="0" w:line="213" w:lineRule="auto"/>
        <w:rPr>
          <w:sz w:val="20"/>
          <w:szCs w:val="20"/>
          <w:color w:val="auto"/>
        </w:rPr>
      </w:pPr>
      <w:r>
        <w:rPr>
          <w:rFonts w:ascii="Arial" w:cs="Arial" w:eastAsia="Arial" w:hAnsi="Arial"/>
          <w:sz w:val="19"/>
          <w:szCs w:val="19"/>
          <w:color w:val="auto"/>
        </w:rPr>
        <w:t>Diabetic retinopathy (DR) is the leading cause of vision loss in adults between 24 and 75 years of age worldwide.</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DR affects nearly 10 million people in the United States alone.</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The spectrum of DR severity ranges from non-proliferative diabetic retinopathy (NPDR) to proliferative diabetic retinopathy (PDR).</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As DR progresses, a large proportion of patients develop vision threatening complications, including diabetic macular edema (DME) and neovascularization that can lead to blindness.</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Current treatment options for patients with NPDR typically include "watchful waiting" or anti-VEGF treatment. For patients with PDR, current treatment options include anti-VEGF treatment or retinal laser; surgical treatment may be required for advanced PDR.</w:t>
      </w:r>
      <w:r>
        <w:rPr>
          <w:rFonts w:ascii="Arial" w:cs="Arial" w:eastAsia="Arial" w:hAnsi="Arial"/>
          <w:sz w:val="25"/>
          <w:szCs w:val="25"/>
          <w:color w:val="auto"/>
          <w:vertAlign w:val="superscript"/>
        </w:rPr>
        <w:t>2</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interim results from analyses performed by REGENXBIO for an ongoing trial.</w:t>
      </w:r>
    </w:p>
    <w:p>
      <w:pPr>
        <w:ind w:left="120" w:hanging="112"/>
        <w:spacing w:after="0" w:line="223" w:lineRule="auto"/>
        <w:tabs>
          <w:tab w:leader="none" w:pos="1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Penn JS, Madan A, Caldwell RB, et al. Vascular endothelial growth factor in eye disease. Prog Retin Eye Res. 2008;27(4):331-71.</w:t>
      </w:r>
    </w:p>
    <w:p>
      <w:pPr>
        <w:spacing w:after="0" w:line="15" w:lineRule="exact"/>
        <w:rPr>
          <w:rFonts w:ascii="Times New Roman" w:cs="Times New Roman" w:eastAsia="Times New Roman" w:hAnsi="Times New Roman"/>
          <w:sz w:val="24"/>
          <w:szCs w:val="24"/>
          <w:color w:val="auto"/>
          <w:vertAlign w:val="superscript"/>
        </w:rPr>
      </w:pPr>
    </w:p>
    <w:p>
      <w:pPr>
        <w:spacing w:after="0" w:line="19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Cheung N, Mitchell P, Wong TY. Diabetic retinopathy. Lancet. 2010;376(9735):124–36.</w:t>
      </w:r>
    </w:p>
    <w:p>
      <w:pPr>
        <w:ind w:right="60"/>
        <w:spacing w:after="0" w:line="21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Lundeen EA, Burke-Conte Z, Rein DB, Wittenborn JS, Saaddine J, Lee AY, Flaxman AD. Prevalence of Diabetic Retinopathy in the US in 2021. JAMA Ophthalmology. 2023;141(8):747-754.</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Berrocal MD, Alexandra Acabá. Current Management of Diabetic Retinopathy,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ind w:right="20"/>
        <w:spacing w:after="0" w:line="232" w:lineRule="auto"/>
        <w:rPr>
          <w:sz w:val="20"/>
          <w:szCs w:val="20"/>
          <w:color w:val="auto"/>
        </w:rPr>
      </w:pPr>
      <w:r>
        <w:rPr>
          <w:rFonts w:ascii="Arial" w:cs="Arial" w:eastAsia="Arial" w:hAnsi="Arial"/>
          <w:sz w:val="20"/>
          <w:szCs w:val="20"/>
          <w:color w:val="auto"/>
        </w:rPr>
        <w:t>AAV gene therapy. REGENXBIO is advancing a late-stage pipeline of one-time treatments for rare and retinal diseases, including RGX-202 for the treatment of Duchenne; clemidsogene lanparvovec (RGX-121) for the treatment of MPS II and RGX-111 for the treatment of MPS I, both in partnership with Nippon Shinyaku; and surabgene lomparvovec (ABBV-RGX-314) for the treatment of wet AMD and diabetic retinopathy, in collaboration with AbbVie. Thousands of patients have been treated with REGENXBIO's AAV platform, including those receiving Novartis' ZOLGENSMA®. REGENXBIO's investigational gene therapies have the potential to change the way healthcare is delivered for millions of people. For more information, please visit www.regenxbio.com.</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 xml:space="preserve">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and clinical trials.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2024,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u w:val="single" w:color="auto"/>
          <w:color w:val="0563C1"/>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13" w:name="page14"/>
    <w:bookmarkEnd w:id="13"/>
    <w:p>
      <w:pPr>
        <w:spacing w:after="0" w:line="202"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AG. All other trademarks referenced herein are registered trademarks of REGENXBIO.</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9" w:lineRule="auto"/>
        <w:rPr>
          <w:sz w:val="20"/>
          <w:szCs w:val="20"/>
          <w:color w:val="auto"/>
        </w:rPr>
      </w:pPr>
      <w:r>
        <w:rPr>
          <w:rFonts w:ascii="Arial" w:cs="Arial" w:eastAsia="Arial" w:hAnsi="Arial"/>
          <w:sz w:val="20"/>
          <w:szCs w:val="20"/>
          <w:color w:val="auto"/>
        </w:rPr>
        <w:t>George E. MacDougall</w:t>
      </w:r>
    </w:p>
    <w:p>
      <w:pPr>
        <w:spacing w:after="0" w:line="226" w:lineRule="auto"/>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61"/>
    </w:lvl>
  </w:abstractNum>
  <w:abstractNum w:abstractNumId="2">
    <w:nsid w:val="4DB127F8"/>
    <w:multiLevelType w:val="hybridMultilevel"/>
    <w:lvl w:ilvl="0">
      <w:lvlJc w:val="left"/>
      <w:lvlText w:val="(%1)"/>
      <w:numFmt w:val="lowerLetter"/>
      <w:start w:val="4"/>
    </w:lvl>
  </w:abstractNum>
  <w:abstractNum w:abstractNumId="3">
    <w:nsid w:val="216231B"/>
    <w:multiLevelType w:val="hybridMultilevel"/>
    <w:lvl w:ilvl="0">
      <w:lvlJc w:val="left"/>
      <w:lvlText w:val="%1"/>
      <w:numFmt w:val="decimal"/>
      <w:start w:val="10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o"/>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o"/>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2025-08-07T06:20:41Z</dcterms:created>
  <dcterms:modified xsi:type="dcterms:W3CDTF">2025-08-07T06:20:41Z</dcterms:modified>
</cp:coreProperties>
</file>