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01</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REGENXBIO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6216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75901B107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October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6216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80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75901B107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802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0289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760" w:right="4900" w:hanging="529"/>
        <w:spacing w:after="0" w:line="182" w:lineRule="auto"/>
        <w:tabs>
          <w:tab w:leader="none" w:pos="760" w:val="left"/>
        </w:tabs>
        <w:numPr>
          <w:ilvl w:val="0"/>
          <w:numId w:val="2"/>
        </w:numPr>
        <w:rPr>
          <w:rFonts w:ascii="Arial" w:cs="Arial" w:eastAsia="Arial" w:hAnsi="Arial"/>
          <w:sz w:val="39"/>
          <w:szCs w:val="39"/>
          <w:b w:val="1"/>
          <w:bCs w:val="1"/>
          <w:color w:val="auto"/>
          <w:vertAlign w:val="subscript"/>
        </w:rPr>
      </w:pPr>
      <w:r>
        <w:rPr>
          <w:rFonts w:ascii="Arial" w:cs="Arial" w:eastAsia="Arial" w:hAnsi="Arial"/>
          <w:sz w:val="15"/>
          <w:szCs w:val="15"/>
          <w:color w:val="auto"/>
        </w:rPr>
        <w:t>I.R.S. IDENTIFICATION NOS. OF ABOVE PERSONS (ENTITIES ONLY) JPMORGAN CHASE &amp; CO.</w:t>
      </w:r>
    </w:p>
    <w:p>
      <w:pPr>
        <w:spacing w:after="0" w:line="204"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13-2624428</w:t>
      </w:r>
    </w:p>
    <w:p>
      <w:pPr>
        <w:spacing w:after="0" w:line="90"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left="240" w:right="10060" w:firstLine="510"/>
        <w:spacing w:after="0" w:line="248" w:lineRule="auto"/>
        <w:tabs>
          <w:tab w:leader="none" w:pos="109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5"/>
          <w:szCs w:val="15"/>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46"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1"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3,923,323</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4,619,542</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4,621,842</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10.8 %</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right="8540" w:hanging="644"/>
        <w:spacing w:after="0" w:line="308"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Name of Issuer REGENXBIO Inc.</w:t>
      </w: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9804 Medical Center Drive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Rockville, MD-20850</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JPMORGAN CHASE &amp; CO.</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383 Madison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10179</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393"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Common Stock, $0.0001 par value per share</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75901B107</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ectPr>
          <w:pgSz w:w="11900" w:h="16838" w:orient="portrait"/>
          <w:cols w:equalWidth="0" w:num="1">
            <w:col w:w="11200"/>
          </w:cols>
          <w:pgMar w:left="320" w:top="513" w:right="379" w:bottom="0" w:gutter="0" w:footer="0" w:header="0"/>
        </w:sectPr>
      </w:pPr>
    </w:p>
    <w:bookmarkStart w:id="3" w:name="page4"/>
    <w:bookmarkEnd w:id="3"/>
    <w:p>
      <w:pPr>
        <w:ind w:left="1304" w:hanging="1304"/>
        <w:spacing w:after="0" w:line="277"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687705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4"/>
          </w:cols>
          <w:pgMar w:left="976" w:top="611"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18"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4,621,842</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10.8 %</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3,923,323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4,619,542</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3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Asset Management (UK) Limited</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Chase Bank, National Association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Investment Management Inc.</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13" w:right="53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JPMORGAN CHASE &amp; CO.</w:t>
      </w:r>
    </w:p>
    <w:p>
      <w:pPr>
        <w:sectPr>
          <w:pgSz w:w="11900" w:h="16838" w:orient="portrait"/>
          <w:cols w:equalWidth="0" w:num="1">
            <w:col w:w="11180"/>
          </w:cols>
          <w:pgMar w:left="320" w:top="756"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November 09,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Rachel Tsvaygoft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Name: Rachel Tsvaygoft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6" w:right="39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Footnotes:</w:t>
      </w:r>
    </w:p>
    <w:p>
      <w:pPr>
        <w:sectPr>
          <w:pgSz w:w="11900" w:h="16838" w:orient="portrait"/>
          <w:cols w:equalWidth="0" w:num="1">
            <w:col w:w="11180"/>
          </w:cols>
          <w:pgMar w:left="320" w:top="756" w:right="39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x"/>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2021-11-09T11:25:40Z</dcterms:created>
  <dcterms:modified xsi:type="dcterms:W3CDTF">2021-11-09T11:25:40Z</dcterms:modified>
</cp:coreProperties>
</file>