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520" w:right="38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___ to 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8" w:lineRule="exact"/>
        <w:rPr>
          <w:sz w:val="24"/>
          <w:szCs w:val="24"/>
          <w:color w:val="auto"/>
        </w:rPr>
      </w:pPr>
    </w:p>
    <w:tbl>
      <w:tblPr>
        <w:tblLayout w:type="fixed"/>
        <w:tblInd w:w="1600" w:type="dxa"/>
        <w:tblCellMar>
          <w:top w:w="0" w:type="dxa"/>
          <w:left w:w="0" w:type="dxa"/>
          <w:bottom w:w="0" w:type="dxa"/>
          <w:right w:w="0" w:type="dxa"/>
        </w:tblCellMar>
      </w:tblPr>
      <w:tr>
        <w:trPr>
          <w:trHeight w:val="21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9"/>
        </w:trPr>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20" w:type="dxa"/>
            <w:vAlign w:val="bottom"/>
          </w:tcPr>
          <w:p>
            <w:pPr>
              <w:jc w:val="center"/>
              <w:ind w:left="391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20" w:type="dxa"/>
            <w:vAlign w:val="bottom"/>
          </w:tcPr>
          <w:p>
            <w:pPr>
              <w:jc w:val="center"/>
              <w:ind w:left="39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9600 Blackwell Road, Suite 210</w:t>
            </w:r>
          </w:p>
        </w:tc>
        <w:tc>
          <w:tcPr>
            <w:tcW w:w="5120" w:type="dxa"/>
            <w:vAlign w:val="bottom"/>
          </w:tcPr>
          <w:p>
            <w:pPr>
              <w:spacing w:after="0"/>
              <w:rPr>
                <w:sz w:val="24"/>
                <w:szCs w:val="24"/>
                <w:color w:val="auto"/>
              </w:rPr>
            </w:pPr>
          </w:p>
        </w:tc>
      </w:tr>
      <w:tr>
        <w:trPr>
          <w:trHeight w:val="21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Rockville, MD</w:t>
            </w:r>
          </w:p>
        </w:tc>
        <w:tc>
          <w:tcPr>
            <w:tcW w:w="512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9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20" w:type="dxa"/>
            <w:vAlign w:val="bottom"/>
          </w:tcPr>
          <w:p>
            <w:pPr>
              <w:jc w:val="center"/>
              <w:ind w:left="39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2460" w:type="dxa"/>
            <w:vAlign w:val="bottom"/>
          </w:tcPr>
          <w:p>
            <w:pPr>
              <w:spacing w:after="0"/>
              <w:rPr>
                <w:sz w:val="21"/>
                <w:szCs w:val="21"/>
                <w:color w:val="auto"/>
              </w:rPr>
            </w:pPr>
          </w:p>
        </w:tc>
        <w:tc>
          <w:tcPr>
            <w:tcW w:w="512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9"/>
              </w:rPr>
              <w:t>(240) 552-8181</w:t>
            </w:r>
          </w:p>
        </w:tc>
      </w:tr>
      <w:tr>
        <w:trPr>
          <w:trHeight w:val="190"/>
        </w:trPr>
        <w:tc>
          <w:tcPr>
            <w:tcW w:w="2460" w:type="dxa"/>
            <w:vAlign w:val="bottom"/>
          </w:tcPr>
          <w:p>
            <w:pPr>
              <w:spacing w:after="0"/>
              <w:rPr>
                <w:sz w:val="16"/>
                <w:szCs w:val="16"/>
                <w:color w:val="auto"/>
              </w:rPr>
            </w:pPr>
          </w:p>
        </w:tc>
        <w:tc>
          <w:tcPr>
            <w:tcW w:w="5120" w:type="dxa"/>
            <w:vAlign w:val="bottom"/>
          </w:tcPr>
          <w:p>
            <w:pPr>
              <w:jc w:val="center"/>
              <w:ind w:right="17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60"/>
        </w:trPr>
        <w:tc>
          <w:tcPr>
            <w:tcW w:w="2460" w:type="dxa"/>
            <w:vAlign w:val="bottom"/>
          </w:tcPr>
          <w:p>
            <w:pPr>
              <w:spacing w:after="0"/>
              <w:rPr>
                <w:sz w:val="22"/>
                <w:szCs w:val="22"/>
                <w:color w:val="auto"/>
              </w:rPr>
            </w:pPr>
          </w:p>
        </w:tc>
        <w:tc>
          <w:tcPr>
            <w:tcW w:w="512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rPr>
              <w:t>Not Applicable</w:t>
            </w:r>
          </w:p>
        </w:tc>
      </w:tr>
    </w:tbl>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5"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5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3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Ticker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4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RGNX</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3, 2019, there were 36,636,825 outstanding shares of the registrant’s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159385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00" w:type="dxa"/>
            <w:vAlign w:val="bottom"/>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tcBorders>
              <w:bottom w:val="single" w:sz="8" w:color="0000EE"/>
            </w:tcBorders>
            <w:gridSpan w:val="6"/>
          </w:tcPr>
          <w:p>
            <w:pPr>
              <w:jc w:val="center"/>
              <w:spacing w:after="0"/>
              <w:rPr>
                <w:rFonts w:ascii="Times New Roman" w:cs="Times New Roman" w:eastAsia="Times New Roman" w:hAnsi="Times New Roman"/>
                <w:sz w:val="18"/>
                <w:szCs w:val="18"/>
                <w:b w:val="1"/>
                <w:bCs w:val="1"/>
                <w:color w:val="0000EE"/>
                <w:w w:val="99"/>
              </w:rPr>
            </w:pPr>
            <w:hyperlink w:anchor="page5">
              <w:r>
                <w:rPr>
                  <w:rFonts w:ascii="Times New Roman" w:cs="Times New Roman" w:eastAsia="Times New Roman" w:hAnsi="Times New Roman"/>
                  <w:sz w:val="18"/>
                  <w:szCs w:val="18"/>
                  <w:b w:val="1"/>
                  <w:bCs w:val="1"/>
                  <w:color w:val="0000EE"/>
                  <w:w w:val="99"/>
                </w:rPr>
                <w:t>PART I—FINANCIAL INFORMATION</w:t>
              </w:r>
            </w:hyperlink>
          </w:p>
        </w:tc>
        <w:tc>
          <w:tcPr>
            <w:tcW w:w="32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r>
      <w:tr>
        <w:trPr>
          <w:trHeight w:val="31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Financial Statements (Unaudited)</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Balance Sheets as of March 31, 2019 and December 31, 2018</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Operations and Comprehensive Income (Loss) for the Three Months Ended March 31, 2019 and 2018</w:t>
              </w:r>
            </w:hyperlink>
          </w:p>
        </w:tc>
        <w:tc>
          <w:tcPr>
            <w:tcW w:w="3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Stockholders’ Equity for the Three Months Ended March 31, 2019 and 2018</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5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Cash Flows for the Three Months Ended March 31, 2019 and 2018</w:t>
              </w:r>
            </w:hyperlink>
          </w:p>
        </w:tc>
        <w:tc>
          <w:tcPr>
            <w:tcW w:w="220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Consolidated Financial Statements</w:t>
              </w:r>
            </w:hyperlink>
          </w:p>
        </w:tc>
        <w:tc>
          <w:tcPr>
            <w:tcW w:w="3700" w:type="dxa"/>
            <w:vAlign w:val="bottom"/>
            <w:tcBorders>
              <w:top w:val="single" w:sz="8" w:color="0000EE"/>
            </w:tcBorders>
            <w:gridSpan w:val="8"/>
          </w:tcPr>
          <w:p>
            <w:pPr>
              <w:spacing w:after="0"/>
              <w:rPr>
                <w:sz w:val="17"/>
                <w:szCs w:val="17"/>
                <w:color w:val="auto"/>
              </w:rPr>
            </w:pPr>
          </w:p>
        </w:tc>
        <w:tc>
          <w:tcPr>
            <w:tcW w:w="288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9"/>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28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9"/>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Controls and Procedures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318"/>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00" w:type="dxa"/>
            <w:vAlign w:val="bottom"/>
            <w:gridSpan w:val="9"/>
          </w:tcPr>
          <w:p>
            <w:pPr>
              <w:jc w:val="center"/>
              <w:ind w:right="3440"/>
              <w:spacing w:after="0"/>
              <w:rPr>
                <w:rFonts w:ascii="Times New Roman" w:cs="Times New Roman" w:eastAsia="Times New Roman" w:hAnsi="Times New Roman"/>
                <w:sz w:val="18"/>
                <w:szCs w:val="18"/>
                <w:b w:val="1"/>
                <w:bCs w:val="1"/>
                <w:color w:val="0000EE"/>
                <w:w w:val="98"/>
              </w:rPr>
            </w:pPr>
            <w:hyperlink w:anchor="page35">
              <w:r>
                <w:rPr>
                  <w:rFonts w:ascii="Times New Roman" w:cs="Times New Roman" w:eastAsia="Times New Roman" w:hAnsi="Times New Roman"/>
                  <w:sz w:val="18"/>
                  <w:szCs w:val="18"/>
                  <w:b w:val="1"/>
                  <w:bCs w:val="1"/>
                  <w:color w:val="0000EE"/>
                  <w:w w:val="98"/>
                </w:rPr>
                <w:t>PART II—OTHER INFORMATION</w:t>
              </w:r>
            </w:hyperlink>
          </w:p>
        </w:tc>
        <w:tc>
          <w:tcPr>
            <w:tcW w:w="580" w:type="dxa"/>
            <w:vAlign w:val="bottom"/>
          </w:tcPr>
          <w:p>
            <w:pPr>
              <w:spacing w:after="0"/>
              <w:rPr>
                <w:sz w:val="24"/>
                <w:szCs w:val="24"/>
                <w:color w:val="auto"/>
              </w:rPr>
            </w:pPr>
          </w:p>
        </w:tc>
      </w:tr>
      <w:tr>
        <w:trPr>
          <w:trHeight w:val="31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440" w:type="dxa"/>
            <w:vAlign w:val="bottom"/>
            <w:gridSpan w:val="10"/>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Legal Proceedings</w:t>
              </w:r>
            </w:hyperlink>
          </w:p>
        </w:tc>
        <w:tc>
          <w:tcPr>
            <w:tcW w:w="2860" w:type="dxa"/>
            <w:vAlign w:val="bottom"/>
            <w:tcBorders>
              <w:top w:val="single" w:sz="8" w:color="0000EE"/>
            </w:tcBorders>
            <w:gridSpan w:val="4"/>
          </w:tcPr>
          <w:p>
            <w:pPr>
              <w:spacing w:after="0"/>
              <w:rPr>
                <w:sz w:val="24"/>
                <w:szCs w:val="24"/>
                <w:color w:val="auto"/>
              </w:rPr>
            </w:pPr>
          </w:p>
        </w:tc>
        <w:tc>
          <w:tcPr>
            <w:tcW w:w="344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17"/>
                <w:szCs w:val="17"/>
                <w:color w:val="auto"/>
              </w:rPr>
            </w:pPr>
          </w:p>
        </w:tc>
        <w:tc>
          <w:tcPr>
            <w:tcW w:w="8400" w:type="dxa"/>
            <w:vAlign w:val="bottom"/>
            <w:gridSpan w:val="1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Unregistered Sales of Equity Securities and Use of Proceeds</w:t>
              </w:r>
            </w:hyperlink>
          </w:p>
        </w:tc>
        <w:tc>
          <w:tcPr>
            <w:tcW w:w="538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Defaults Upon Senior Securities</w:t>
              </w:r>
            </w:hyperlink>
          </w:p>
        </w:tc>
        <w:tc>
          <w:tcPr>
            <w:tcW w:w="7400" w:type="dxa"/>
            <w:vAlign w:val="bottom"/>
            <w:gridSpan w:val="1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Mine Safety Disclosures</w:t>
              </w:r>
            </w:hyperlink>
          </w:p>
        </w:tc>
        <w:tc>
          <w:tcPr>
            <w:tcW w:w="7960" w:type="dxa"/>
            <w:vAlign w:val="bottom"/>
            <w:gridSpan w:val="1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19"/>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Other Information</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Exhibits</w:t>
              </w:r>
            </w:hyperlink>
          </w:p>
        </w:tc>
        <w:tc>
          <w:tcPr>
            <w:tcW w:w="8420" w:type="dxa"/>
            <w:vAlign w:val="bottom"/>
            <w:gridSpan w:val="1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120" w:type="dxa"/>
            <w:vAlign w:val="bottom"/>
            <w:gridSpan w:val="2"/>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743"/>
        </w:trPr>
        <w:tc>
          <w:tcPr>
            <w:tcW w:w="76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We have based these forward-looking statements on our current expectations and assumptions and analyses made by us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w:t>
      </w:r>
    </w:p>
    <w:p>
      <w:pPr>
        <w:spacing w:after="0" w:line="77" w:lineRule="exact"/>
        <w:rPr>
          <w:sz w:val="20"/>
          <w:szCs w:val="20"/>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enrollment, commencement and completion and the success of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commencement and completion and the success of preclinical studies conducted by us and our development partners;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development and launch of new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regulatory approval of our product candidates, and the labeling for any approved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expansion and costs of developing and commercializing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and technology;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competition;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trends and challenges in our business and the market in which we operate;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retain key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 candidates and the ability to serve those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development partnerships;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expenses and revenue;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developments in the United States and foreign countries;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sufficiency of our cash and cash equivalents and needs for additional financing.</w:t>
      </w:r>
    </w:p>
    <w:p>
      <w:pPr>
        <w:spacing w:after="0" w:line="22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You should carefully read the factors discussed in the sections titled “Risk Factors,” “Management’s Discussion and Analysis of Financial Condition and Results of Operations” and elsewhere in this Quarterly Report on Form 10-Q, our Annual Report on Form 10-K for the year ended December 31, 2018 and in our other filings with the U.S. Securities and Exchange Commission (the SEC) for additional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These forward-looking statements speak only as of the date of this report. Except as required by law and the rules of the SEC, we do not undertake any obligation, and specifically decline any obligation, to update or revise any forward-looking statements, whether as a result of new information, future events or otherwise.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under the Exchange Act. You may obtain any reports, proxy and information statements, and other information that we file electronically with the SEC at www.sec.gov.</w:t>
      </w:r>
    </w:p>
    <w:p>
      <w:pPr>
        <w:spacing w:after="0" w:line="16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You also may view and download copies of our SEC filings free of charge at our website, www.regenxbio.com, as soon as reasonably practicable after we electronically file such material with, or furnish it to, the SEC. The information contained on, or that can be accessed through, our website will not be deemed to be incorporated by reference in, and is not considered part of, this Quarterly Report on Form 10-Q. Investors should also note that we use our website, as well as SEC filings, press releases, public conference calls and webcasts, to announce financial information and other material developments regarding our business. We use these channels, as well as any social media channels listed on our website, to communicate with investors and members of the public about our business. It is possible that the information that we post on our social media channels could be deemed material information. Therefore, we encourage investors, the media and others interested in our company to review the information that we post on our social media channels.</w:t>
      </w:r>
    </w:p>
    <w:p>
      <w:pPr>
        <w:spacing w:after="0" w:line="189"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the terms “REGENXBIO,” “we,” “us,” “our” or the “Company” mean REGENXBIO Inc. and its subsidiaries, on a consolidated basis, unless the context indicates otherwise.</w:t>
      </w:r>
    </w:p>
    <w:p>
      <w:pPr>
        <w:spacing w:after="0" w:line="162"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NAV, REGENXBIO and the REGENXBIO logos are our registered trademarks. Any other trademarks appearing in this Quarterly Report on Form 10-Q are the property of their respective holders.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55,852</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519,031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obligations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$0.0001 par value; 10,000 shares authorized, and no shares issued</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outstanding at March 31, 2019 and December 31, 2018</w:t>
            </w: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100,000 shares authorized at March 31, 2019</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December 31, 2018; 36,611 and 36,120 shares issued and outstanding at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31, 2019 and December 31, 2018, respectively</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602,425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(115,317)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(83,016)</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487,053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519,031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 revenue</w:t>
            </w:r>
          </w:p>
        </w:tc>
        <w:tc>
          <w:tcPr>
            <w:tcW w:w="282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Pr>
          <w:p>
            <w:pPr>
              <w:spacing w:after="0"/>
              <w:rPr>
                <w:sz w:val="19"/>
                <w:szCs w:val="19"/>
                <w:color w:val="auto"/>
              </w:rPr>
            </w:pPr>
          </w:p>
        </w:tc>
        <w:tc>
          <w:tcPr>
            <w:tcW w:w="1080" w:type="dxa"/>
            <w:vAlign w:val="bottom"/>
            <w:gridSpan w:val="2"/>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132,391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revenues</w:t>
            </w:r>
          </w:p>
        </w:tc>
        <w:tc>
          <w:tcPr>
            <w:tcW w:w="18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132,391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Costs of revenues</w:t>
            </w:r>
          </w:p>
        </w:tc>
        <w:tc>
          <w:tcPr>
            <w:tcW w:w="1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Licensing costs</w:t>
            </w:r>
          </w:p>
        </w:tc>
        <w:tc>
          <w:tcPr>
            <w:tcW w:w="1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(35,906)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102,025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from licensing</w:t>
            </w:r>
          </w:p>
        </w:tc>
        <w:tc>
          <w:tcPr>
            <w:tcW w:w="1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Investment income</w:t>
            </w:r>
          </w:p>
        </w:tc>
        <w:tc>
          <w:tcPr>
            <w:tcW w:w="18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other income</w:t>
            </w:r>
          </w:p>
        </w:tc>
        <w:tc>
          <w:tcPr>
            <w:tcW w:w="18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(32,298)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104,239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0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income (loss)</w:t>
            </w:r>
          </w:p>
        </w:tc>
        <w:tc>
          <w:tcPr>
            <w:tcW w:w="186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(32,228)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104,239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8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of reclassifications and income tax expense</w:t>
            </w:r>
          </w:p>
        </w:tc>
        <w:tc>
          <w:tcPr>
            <w:tcW w:w="1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6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(31,607)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104,051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applicable to common stockholders</w:t>
            </w:r>
          </w:p>
        </w:tc>
        <w:tc>
          <w:tcPr>
            <w:tcW w:w="18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(32,228)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104,239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c>
          <w:tcPr>
            <w:tcW w:w="1080" w:type="dxa"/>
            <w:vAlign w:val="bottom"/>
            <w:gridSpan w:val="2"/>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FF0FC"/>
            </w:tcBorders>
            <w:vMerge w:val="continue"/>
          </w:tcPr>
          <w:p>
            <w:pPr>
              <w:spacing w:after="0"/>
              <w:rPr>
                <w:sz w:val="21"/>
                <w:szCs w:val="21"/>
                <w:color w:val="auto"/>
              </w:rPr>
            </w:pPr>
          </w:p>
        </w:tc>
        <w:tc>
          <w:tcPr>
            <w:tcW w:w="186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8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60" w:type="dxa"/>
            <w:vAlign w:val="bottom"/>
            <w:tcBorders>
              <w:bottom w:val="single" w:sz="8" w:color="CFF0FC"/>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1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31,632</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3"/>
        </w:trPr>
        <w:tc>
          <w:tcPr>
            <w:tcW w:w="4060" w:type="dxa"/>
            <w:vAlign w:val="bottom"/>
          </w:tcPr>
          <w:p>
            <w:pPr>
              <w:spacing w:after="0"/>
              <w:rPr>
                <w:sz w:val="15"/>
                <w:szCs w:val="15"/>
                <w:color w:val="auto"/>
              </w:rPr>
            </w:pPr>
          </w:p>
        </w:tc>
        <w:tc>
          <w:tcPr>
            <w:tcW w:w="2020" w:type="dxa"/>
            <w:vAlign w:val="bottom"/>
            <w:tcBorders>
              <w:bottom w:val="single" w:sz="8" w:color="auto"/>
            </w:tcBorders>
            <w:gridSpan w:val="3"/>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4060" w:type="dxa"/>
            <w:vAlign w:val="bottom"/>
          </w:tcPr>
          <w:p>
            <w:pPr>
              <w:spacing w:after="0"/>
              <w:rPr>
                <w:sz w:val="13"/>
                <w:szCs w:val="13"/>
                <w:color w:val="auto"/>
              </w:rPr>
            </w:pPr>
          </w:p>
        </w:tc>
        <w:tc>
          <w:tcPr>
            <w:tcW w:w="980" w:type="dxa"/>
            <w:vAlign w:val="bottom"/>
          </w:tcPr>
          <w:p>
            <w:pPr>
              <w:jc w:val="right"/>
              <w:ind w:right="201"/>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61"/>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11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2018</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36,120</w:t>
            </w: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592,580</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(83,016)</w:t>
            </w: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508,848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Adoption of ASU 2016-02 (Topic 842)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Adoption of ASU 2018-02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100" w:type="dxa"/>
            <w:vAlign w:val="bottom"/>
          </w:tcPr>
          <w:p>
            <w:pPr>
              <w:spacing w:after="0"/>
              <w:rPr>
                <w:sz w:val="18"/>
                <w:szCs w:val="18"/>
                <w:color w:val="auto"/>
              </w:rPr>
            </w:pPr>
          </w:p>
        </w:tc>
      </w:tr>
      <w:tr>
        <w:trPr>
          <w:trHeight w:val="208"/>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FF0FC"/>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100" w:type="dxa"/>
            <w:vAlign w:val="bottom"/>
          </w:tcPr>
          <w:p>
            <w:pPr>
              <w:spacing w:after="0"/>
              <w:rPr>
                <w:sz w:val="18"/>
                <w:szCs w:val="18"/>
                <w:color w:val="auto"/>
              </w:rPr>
            </w:pPr>
          </w:p>
        </w:tc>
      </w:tr>
      <w:tr>
        <w:trPr>
          <w:trHeight w:val="208"/>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of reclassifications and income tax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FF0FC"/>
          </w:tcPr>
          <w:p>
            <w:pPr>
              <w:spacing w:after="0"/>
              <w:rPr>
                <w:sz w:val="18"/>
                <w:szCs w:val="18"/>
                <w:color w:val="auto"/>
              </w:rPr>
            </w:pP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(32,228)</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(32,228)</w:t>
            </w:r>
          </w:p>
        </w:tc>
      </w:tr>
      <w:tr>
        <w:trPr>
          <w:trHeight w:val="210"/>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2019</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36,611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602,425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(115,317)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487,053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2"/>
        </w:trPr>
        <w:tc>
          <w:tcPr>
            <w:tcW w:w="40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3"/>
        </w:trPr>
        <w:tc>
          <w:tcPr>
            <w:tcW w:w="4060" w:type="dxa"/>
            <w:vAlign w:val="bottom"/>
          </w:tcPr>
          <w:p>
            <w:pPr>
              <w:spacing w:after="0"/>
              <w:rPr>
                <w:sz w:val="15"/>
                <w:szCs w:val="15"/>
                <w:color w:val="auto"/>
              </w:rPr>
            </w:pPr>
          </w:p>
        </w:tc>
        <w:tc>
          <w:tcPr>
            <w:tcW w:w="2020" w:type="dxa"/>
            <w:vAlign w:val="bottom"/>
            <w:tcBorders>
              <w:bottom w:val="single" w:sz="8" w:color="auto"/>
            </w:tcBorders>
            <w:gridSpan w:val="3"/>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4060" w:type="dxa"/>
            <w:vAlign w:val="bottom"/>
          </w:tcPr>
          <w:p>
            <w:pPr>
              <w:spacing w:after="0"/>
              <w:rPr>
                <w:sz w:val="13"/>
                <w:szCs w:val="13"/>
                <w:color w:val="auto"/>
              </w:rPr>
            </w:pPr>
          </w:p>
        </w:tc>
        <w:tc>
          <w:tcPr>
            <w:tcW w:w="980" w:type="dxa"/>
            <w:vAlign w:val="bottom"/>
          </w:tcPr>
          <w:p>
            <w:pPr>
              <w:jc w:val="right"/>
              <w:ind w:right="201"/>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61"/>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11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2017</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31,295</w:t>
            </w: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371,497</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(187,756)</w:t>
            </w: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183,029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Adoption of ASU 2014-09 (Topic 606)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100" w:type="dxa"/>
            <w:vAlign w:val="bottom"/>
          </w:tcPr>
          <w:p>
            <w:pPr>
              <w:spacing w:after="0"/>
              <w:rPr>
                <w:sz w:val="18"/>
                <w:szCs w:val="18"/>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100" w:type="dxa"/>
            <w:vAlign w:val="bottom"/>
            <w:shd w:val="clear" w:color="auto" w:fill="CFF0FC"/>
          </w:tcPr>
          <w:p>
            <w:pPr>
              <w:spacing w:after="0"/>
              <w:rPr>
                <w:sz w:val="19"/>
                <w:szCs w:val="19"/>
                <w:color w:val="auto"/>
              </w:rPr>
            </w:pPr>
          </w:p>
        </w:tc>
      </w:tr>
      <w:tr>
        <w:trPr>
          <w:trHeight w:val="20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shd w:val="clear" w:color="auto" w:fill="CFF0FC"/>
          </w:tcPr>
          <w:p>
            <w:pPr>
              <w:spacing w:after="0"/>
              <w:rPr>
                <w:sz w:val="19"/>
                <w:szCs w:val="19"/>
                <w:color w:val="auto"/>
              </w:rPr>
            </w:pPr>
          </w:p>
        </w:tc>
      </w:tr>
      <w:tr>
        <w:trPr>
          <w:trHeight w:val="20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reclassifications and income tax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w:t>
            </w: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104,239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104,239</w:t>
            </w:r>
          </w:p>
        </w:tc>
        <w:tc>
          <w:tcPr>
            <w:tcW w:w="100" w:type="dxa"/>
            <w:vAlign w:val="bottom"/>
            <w:shd w:val="clear" w:color="auto" w:fill="CFF0FC"/>
          </w:tcPr>
          <w:p>
            <w:pPr>
              <w:spacing w:after="0"/>
              <w:rPr>
                <w:sz w:val="19"/>
                <w:szCs w:val="19"/>
                <w:color w:val="auto"/>
              </w:rPr>
            </w:pPr>
          </w:p>
        </w:tc>
      </w:tr>
      <w:tr>
        <w:trPr>
          <w:trHeight w:val="207"/>
        </w:trPr>
        <w:tc>
          <w:tcPr>
            <w:tcW w:w="4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2018</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31,900</w:t>
            </w:r>
          </w:p>
        </w:tc>
        <w:tc>
          <w:tcPr>
            <w:tcW w:w="2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378,954</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(78,714)</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299,340</w:t>
            </w:r>
          </w:p>
        </w:tc>
        <w:tc>
          <w:tcPr>
            <w:tcW w:w="100" w:type="dxa"/>
            <w:vAlign w:val="bottom"/>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9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(32,228)</w:t>
            </w:r>
          </w:p>
        </w:tc>
        <w:tc>
          <w:tcPr>
            <w:tcW w:w="1080" w:type="dxa"/>
            <w:vAlign w:val="bottom"/>
            <w:gridSpan w:val="2"/>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104,239</w:t>
            </w:r>
          </w:p>
        </w:tc>
        <w:tc>
          <w:tcPr>
            <w:tcW w:w="120" w:type="dxa"/>
            <w:vAlign w:val="bottom"/>
          </w:tcPr>
          <w:p>
            <w:pPr>
              <w:spacing w:after="0"/>
              <w:rPr>
                <w:sz w:val="19"/>
                <w:szCs w:val="19"/>
                <w:color w:val="auto"/>
              </w:rPr>
            </w:pPr>
          </w:p>
        </w:tc>
      </w:tr>
      <w:tr>
        <w:trPr>
          <w:trHeight w:val="21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w:t>
            </w:r>
          </w:p>
        </w:tc>
        <w:tc>
          <w:tcPr>
            <w:tcW w:w="9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20" w:type="dxa"/>
            <w:vAlign w:val="bottom"/>
          </w:tcPr>
          <w:p>
            <w:pPr>
              <w:spacing w:after="0"/>
              <w:rPr>
                <w:sz w:val="19"/>
                <w:szCs w:val="19"/>
                <w:color w:val="auto"/>
              </w:rPr>
            </w:pPr>
          </w:p>
        </w:tc>
      </w:tr>
      <w:tr>
        <w:trPr>
          <w:trHeight w:val="211"/>
        </w:trPr>
        <w:tc>
          <w:tcPr>
            <w:tcW w:w="6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marketable</w:t>
            </w:r>
          </w:p>
        </w:tc>
        <w:tc>
          <w:tcPr>
            <w:tcW w:w="9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debt securities</w:t>
            </w:r>
          </w:p>
        </w:tc>
        <w:tc>
          <w:tcPr>
            <w:tcW w:w="9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FF0FC"/>
          </w:tcPr>
          <w:p>
            <w:pPr>
              <w:spacing w:after="0"/>
              <w:rPr>
                <w:sz w:val="20"/>
                <w:szCs w:val="20"/>
                <w:color w:val="auto"/>
              </w:rPr>
            </w:pPr>
          </w:p>
        </w:tc>
      </w:tr>
      <w:tr>
        <w:trPr>
          <w:trHeight w:val="230"/>
        </w:trPr>
        <w:tc>
          <w:tcPr>
            <w:tcW w:w="6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Imputed interest income from licensing</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(1,355)</w:t>
            </w:r>
          </w:p>
        </w:tc>
      </w:tr>
      <w:tr>
        <w:trPr>
          <w:trHeight w:val="230"/>
        </w:trPr>
        <w:tc>
          <w:tcPr>
            <w:tcW w:w="6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(51,414)</w:t>
            </w:r>
          </w:p>
        </w:tc>
      </w:tr>
      <w:tr>
        <w:trPr>
          <w:trHeight w:val="230"/>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FF0FC"/>
          </w:tcPr>
          <w:p>
            <w:pPr>
              <w:spacing w:after="0"/>
              <w:rPr>
                <w:sz w:val="19"/>
                <w:szCs w:val="19"/>
                <w:color w:val="auto"/>
              </w:rPr>
            </w:pPr>
          </w:p>
        </w:tc>
      </w:tr>
      <w:tr>
        <w:trPr>
          <w:trHeight w:val="230"/>
        </w:trPr>
        <w:tc>
          <w:tcPr>
            <w:tcW w:w="6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FF0FC"/>
          </w:tcPr>
          <w:p>
            <w:pPr>
              <w:spacing w:after="0"/>
              <w:rPr>
                <w:sz w:val="19"/>
                <w:szCs w:val="19"/>
                <w:color w:val="auto"/>
              </w:rPr>
            </w:pPr>
          </w:p>
        </w:tc>
      </w:tr>
      <w:tr>
        <w:trPr>
          <w:trHeight w:val="230"/>
        </w:trPr>
        <w:tc>
          <w:tcPr>
            <w:tcW w:w="6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rent</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FF0FC"/>
          </w:tcPr>
          <w:p>
            <w:pPr>
              <w:spacing w:after="0"/>
              <w:rPr>
                <w:sz w:val="19"/>
                <w:szCs w:val="19"/>
                <w:color w:val="auto"/>
              </w:rPr>
            </w:pPr>
          </w:p>
        </w:tc>
      </w:tr>
      <w:tr>
        <w:trPr>
          <w:trHeight w:val="223"/>
        </w:trPr>
        <w:tc>
          <w:tcPr>
            <w:tcW w:w="68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(29,297)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58,134</w:t>
            </w:r>
          </w:p>
        </w:tc>
        <w:tc>
          <w:tcPr>
            <w:tcW w:w="120" w:type="dxa"/>
            <w:vAlign w:val="bottom"/>
          </w:tcPr>
          <w:p>
            <w:pPr>
              <w:spacing w:after="0"/>
              <w:rPr>
                <w:sz w:val="19"/>
                <w:szCs w:val="19"/>
                <w:color w:val="auto"/>
              </w:rPr>
            </w:pP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(79,249)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(54,267)</w:t>
            </w: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120" w:type="dxa"/>
            <w:vAlign w:val="bottom"/>
            <w:shd w:val="clear" w:color="auto" w:fill="CFF0FC"/>
          </w:tcPr>
          <w:p>
            <w:pPr>
              <w:spacing w:after="0"/>
              <w:rPr>
                <w:sz w:val="19"/>
                <w:szCs w:val="19"/>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(2,344)</w:t>
            </w:r>
          </w:p>
        </w:tc>
      </w:tr>
      <w:tr>
        <w:trPr>
          <w:trHeight w:val="223"/>
        </w:trPr>
        <w:tc>
          <w:tcPr>
            <w:tcW w:w="68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(37,086)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shd w:val="clear" w:color="auto" w:fill="CFF0FC"/>
          </w:tcPr>
          <w:p>
            <w:pPr>
              <w:spacing w:after="0"/>
              <w:rPr>
                <w:sz w:val="19"/>
                <w:szCs w:val="19"/>
                <w:color w:val="auto"/>
              </w:rPr>
            </w:pPr>
          </w:p>
        </w:tc>
      </w:tr>
      <w:tr>
        <w:trPr>
          <w:trHeight w:val="230"/>
        </w:trPr>
        <w:tc>
          <w:tcPr>
            <w:tcW w:w="6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FF0FC"/>
            </w:tcBorders>
          </w:tcPr>
          <w:p>
            <w:pPr>
              <w:spacing w:after="0"/>
              <w:rPr>
                <w:sz w:val="19"/>
                <w:szCs w:val="19"/>
                <w:color w:val="auto"/>
              </w:rPr>
            </w:pPr>
          </w:p>
        </w:tc>
      </w:tr>
      <w:tr>
        <w:trPr>
          <w:trHeight w:val="223"/>
        </w:trPr>
        <w:tc>
          <w:tcPr>
            <w:tcW w:w="68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20" w:type="dxa"/>
            <w:vAlign w:val="bottom"/>
            <w:shd w:val="clear" w:color="auto" w:fill="CFF0FC"/>
          </w:tcPr>
          <w:p>
            <w:pPr>
              <w:spacing w:after="0"/>
              <w:rPr>
                <w:sz w:val="19"/>
                <w:szCs w:val="19"/>
                <w:color w:val="auto"/>
              </w:rPr>
            </w:pPr>
          </w:p>
        </w:tc>
      </w:tr>
      <w:tr>
        <w:trPr>
          <w:trHeight w:val="223"/>
        </w:trPr>
        <w:tc>
          <w:tcPr>
            <w:tcW w:w="68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(19,709)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120" w:type="dxa"/>
            <w:vAlign w:val="bottom"/>
          </w:tcPr>
          <w:p>
            <w:pPr>
              <w:spacing w:after="0"/>
              <w:rPr>
                <w:sz w:val="19"/>
                <w:szCs w:val="19"/>
                <w:color w:val="auto"/>
              </w:rPr>
            </w:pPr>
          </w:p>
        </w:tc>
      </w:tr>
      <w:tr>
        <w:trPr>
          <w:trHeight w:val="23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tc>
        <w:tc>
          <w:tcPr>
            <w:tcW w:w="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9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76,614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46,881</w:t>
            </w:r>
          </w:p>
        </w:tc>
        <w:tc>
          <w:tcPr>
            <w:tcW w:w="120" w:type="dxa"/>
            <w:vAlign w:val="bottom"/>
            <w:tcBorders>
              <w:bottom w:val="single" w:sz="8" w:color="CFF0FC"/>
            </w:tcBorders>
          </w:tcPr>
          <w:p>
            <w:pPr>
              <w:spacing w:after="0"/>
              <w:rPr>
                <w:sz w:val="19"/>
                <w:szCs w:val="19"/>
                <w:color w:val="auto"/>
              </w:rPr>
            </w:pPr>
          </w:p>
        </w:tc>
      </w:tr>
      <w:tr>
        <w:trPr>
          <w:trHeight w:val="223"/>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9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REGENXBIO Inc. (the Company) is a leading clinical-stage biotechnology company seeking to improve lives through the curative potential of gene therapy. The Company’s proprietary adeno-associated virus (AAV) gene delivery platform (NAV Technology Platform) consists of exclusive rights to over 100 novel AAV vectors, including AAV7, AAV8, AAV9 and AAVrh10. The Company’s NAV® Technology Platform is being applied by the Company, as well as by third-party licensees (NAV Technology Licensees), in the development of product candidates for a variety of diseases with unmet needs. The Company was formed in 2008 in the State of Delaware and is headquartered in Rockville, Maryland.</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Risks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As of March 31, 2019, the Company had generated an accumulated deficit of $115.3 million since inception. As the Company has incurred cumulative losses since inception, transition to recurring profitability is dependent upon the successful development, approval and commercialization of its product candidates and achieving a level of revenues adequate to support the Company’s cost structure. The Company may never achieve recurring profitability, and unless and until it does, the Company will continue to need to raise additional capital. As of March 31, 2019, the Company had cash, cash equivalents and marketable securities of $444.3 million, which management believes is sufficient to fund operations for at least the next 12 months from the date these consolidated financial statements were issued.</w:t>
      </w:r>
    </w:p>
    <w:p>
      <w:pPr>
        <w:spacing w:after="0" w:line="188"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development by the Company or its competitors of technological innovations, risks of failure of clinical trials, dependence on key personnel, protection of proprietary technology, compliance with government regulations and ability to transition from clinical manufacturing to the commercial production of products.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and have been prepared in conformity with accounting principles generally accepted in the United States of America (GAAP). The interim unaudited consolidated financial statements have been prepared on the same basis as the annual audited consolidated financial statements as of and for the year ended December 31, 2018 included in the Company’s Annual Report on Form 10-K for the year ended December 31, 2018, which was filed with the SEC on February 27, 2019. Certain information and footnote disclosures required by GAAP which are normally included in the Company’s annual consolidated financial statements have been omitted pursuant to SEC rules and regulations for interim reporting. In the opinion of management, the accompanying consolidated financial statements reflect all adjustments, which include all normal and recurring adjustments necessary for the fair statement of the Company’s financial position as of March 31, 2019, and the results of its operations and its cash flows for the interim periods ended March 31, 2019 and 2018.</w:t>
      </w:r>
    </w:p>
    <w:p>
      <w:pPr>
        <w:spacing w:after="0" w:line="18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the results of operations to be expected for the full year, any other interim periods, or any future year or period. These interim consolidated financial statements should be read in conjunction with the audited consolidated financial statements as of and for the year ended December 31, 2018, and the notes thereto, which are included in the Company’s Annual Report on Form 10-K for the year ended December 31, 2018.</w:t>
      </w:r>
    </w:p>
    <w:p>
      <w:pPr>
        <w:spacing w:after="0" w:line="180"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intercompany balances and transactions have been eliminated in consolidation.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in the financial statements and accompanying notes. Actual results could differ materially from those estimates. Management considers many factors in selecting appropriate financial accounting policies and controls, and in developing the estimates and assumptions that are used in the preparation of these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consolidated financial statements. Significant estimates are used in the following areas, among others: revenue, stock-based compensation expense, accrued research and development expenses and other accrued liabilities, income taxes and the fair value of financial instruments.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Restricted cash includes money market mutual funds used to collateralize irrevocable letters of credit as required by the Company’s lease agreements. The following table provides a reconciliation of cash and cash equivalents and restricted cash as reported on the consolidated balance sheets to the total of these amounts as reported at the end of the period in the consolidated statements of cash flows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55,852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71,870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56,905</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Marketable securities consist of debt securities and are classified as available-for-sale and carried at fair value. Marketable securities with remaining maturity dates exceeding 12 months which are not intended to be sold prior to maturity for use in current operations are classified as non-current. Unrealized gains and losses, net of any related tax effects, are excluded from results of operations and are included in other comprehensive income (loss) and reported as a separate component of stockholders’ equity until realized. The Company uses the aggregate portfolio approach to release the tax effects of unrealized gains and losses on available-for-sale debt securities in accumulated other comprehensive income (loss). Purchase premiums and discounts are amortized or accreted into the cost basis over the life of the related security as adjustments to the yield using the effective-interest method. Interest income is recognized when earned. Realized gains and losses from the sale or maturity of marketable securities are based on the specific identification method and are included in results of operations.</w:t>
      </w:r>
    </w:p>
    <w:p>
      <w:pPr>
        <w:spacing w:after="0" w:line="18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 decline in the fair value below cost of available-for-sale securities that is deemed other-than-temporary is charged to results of operations, resulting in the establishment of a new cost basis for the security. The Company regularly evaluates whether declines in the fair value of its investments below their cost are other-than-temporary. The evaluation includes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The Company has not recorded any impairment of available-for-sale securities which was deemed to be to be other-than-temporary.</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40" w:firstLine="518"/>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supersedes the lease accounting requirements in Accounting Standards Codification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840). Please refer to Recent Accounting Pronouncements below for additional information on the adoption of Topic 842 and the impact upon adoption to the Company’s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Under Topic 842, the Company applies a dual approach to all leases in which it is a lessee and classifies leases as either finance or operating leases based on the principle of whether or not the lease is effectively a financed purchase by the Company. Lease classification is evaluated at the inception of the lease agreement. Regardless of classification, the Company records a right-of-use asset and a lease liability for all leases with a term greater than 12 months. All of the Company’s leases as of March 31, 2019 have been classified as operating leases. Operating lease expense is recognized on a straight-line basis over the term of the lease. Variable lease expense is recognized as incurred.</w:t>
      </w:r>
    </w:p>
    <w:p>
      <w:pPr>
        <w:spacing w:after="0" w:line="18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Company identifies leases in its contracts if the contract conveys the right to control the use of identified property, plant or equipment for a period of time in exchange for consideration. The Company does not allocate lease consideration between lease and nonlease components and records a lease liability equal to the present value of the remaining fixed consideration under the lease. The interest rates implicit in the Company’s leases are generally not readily determinable. Accordingly, the Company uses its estimated incremental borrowing rate at the commencement date of the lease to determine the present value discount of the lease liability. The Company estimates its incremental borrowing rate for each lease based on an evaluation of its expected credit rating and the prevailing market rates for collateralized debt in a similar economic environment with similar payment terms and maturity dates commensurate with the term of the lease. The right-of-use asset for each lease is equal to the lease liability, adjusted for unamortized initial direct costs and lease incentives and prepaid or accrued rent. Initial direct costs of entering into a lease are included in the right-of-use asset and amortized as lease expense over the term of the lease. Lease incentives, such as tenant improvements allowances, are recorded as a reduction of the right-of-use asset and amortized as a reduction of lease expense over the term of the lease. The Company excludes options to extend or terminate leases from the calculation of the lease liability unless it is reasonably certain the option will be exercised.</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The Company is required to disclose information on all assets and liabilities reported at fair value that enables an assessment of the inputs used in determining the reported fair values.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77" w:lineRule="exact"/>
        <w:rPr>
          <w:sz w:val="20"/>
          <w:szCs w:val="20"/>
          <w:color w:val="auto"/>
        </w:rPr>
      </w:pPr>
    </w:p>
    <w:p>
      <w:pPr>
        <w:ind w:left="1040" w:right="24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for similar assets or liabilities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that require inputs that reflect the Company’s own assumptions that are both significant to the fair value measurement and unobservable.</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values of the Company’s Level 2 instruments are based on quoted market prices or broker or dealer quotations for similar assets. These investments are initially valued at the transaction price and subsequently valued utilizing third party pricing providers or other market observable data. Please refer to Note 4 for further information on the fair value measurement of the Company’s financial instruments.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applicable to common stockholders by the weighted-average common shares outstanding during the period, without consideration for common stock equivalents. Diluted net income (loss) per share is calculated by adjusting the weighted-average common shares outstanding for the dilutive effect of common stock equivalents outstanding for the period, determined using the treasury-stock method. Contingently convertible shares in which conversion is based on non-market-priced contingencies are excluded from the calculations of both basic and diluted net income (loss) per share until the contingency has been fully met. For purposes of the diluted net income (loss) per share calculation, common stock equivalents are excluded from the calculation of diluted net income (loss) per share if their effect would be anti-dilutive.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Adoption of ASU 2016-02, Leases</w:t>
      </w:r>
    </w:p>
    <w:p>
      <w:pPr>
        <w:spacing w:after="0" w:line="117"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supersedes the lease accounting requirements in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840). Effective January 1, 2019, the Company adopted Topic 842 using the modified retrospective transition method. Under this method, the Company applied Topic 842 to all leases in effect as of, or entered into after, January 1, 2019 and recorded the cumulative impact of the adoption as an adjustment to its accumulated deficit on January 1, 2019. The Company’s consolidated financial statements for periods ending after January 1, 2019 are presented in accordance with the requirements of Topic 842, while comparative prior period amounts have not been adjusted and continue to be reported in accordance with Topic 840. Please refer to Leases above for a description of the Company’s lease accounting policies upon the adoption on Topic 842.</w:t>
      </w:r>
    </w:p>
    <w:p>
      <w:pPr>
        <w:spacing w:after="0" w:line="18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elected certain practical expedients allowed by Topic 842 for transition purposes, including the package of practical expedients which permitted the Company to not reassess lease identification, classification and initial direct costs under Topic 842 for leases that commenced prior to January 1, 2019. Additionally, the Company elected the practical expedient allowed for transition purposes to use hindsight in determining the terms of leases that commenced prior to January 1, 2019.</w:t>
      </w:r>
    </w:p>
    <w:p>
      <w:pPr>
        <w:spacing w:after="0" w:line="18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Upon the adoption of Topic 842, the Company recorded operating lease right-of-use assets of $7.4 million and operating lease liabilities of $8.4 million for its leases which were in effect and had commenced prior to January 1, 2019 and had original lease terms of more than 12 months. Additionally, upon the adoption of Topic 842, the Company derecognized $5.9 million of property and equipment and $5.9 million of financing lease obligations related to construction-in-progress at 9800 Medical Center Drive, as the Company does not control the building during the construction period under the requirements of Topic 842. The lease term for the facility at 9800 Medical Center Drive does not commence until certain construction is completed by the landlord and the building is delivered to the Company. The right-of-use assets and lease liabilities related to the facility at 9800 Medical Center Drive will not be recognized on the Company’s consolidated balance sheets until the commencement date of the lease, which is expected to occur in 2020.</w:t>
      </w:r>
    </w:p>
    <w:p>
      <w:pPr>
        <w:spacing w:after="0" w:line="189"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cumulative impact of the adoption of Topic 842 resulted in an increase in accumulated deficit of less than $0.1 million on January 1, 2019. The adoption of Topic 842 did not have a material impact on the Company’s results of operations for the three months ended March 31, 2019, nor does the Company believe it will have a material impact on future results of operations based on its current leasing arrangements.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recently adopted accounting pronouncements</w:t>
      </w:r>
    </w:p>
    <w:p>
      <w:pPr>
        <w:spacing w:after="0" w:line="117"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Income Statement—Reporting Comprehensive Income (Topic 220): Reclassification of Certain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from Accumulated Other Comprehensive Income</w:t>
      </w:r>
      <w:r>
        <w:rPr>
          <w:rFonts w:ascii="Times New Roman" w:cs="Times New Roman" w:eastAsia="Times New Roman" w:hAnsi="Times New Roman"/>
          <w:sz w:val="18"/>
          <w:szCs w:val="18"/>
          <w:color w:val="auto"/>
        </w:rPr>
        <w:t>, which amends the current guidance on comprehensive income to provide an option for an entity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reclassify the stranded tax effects of the Tax Cuts and Jobs Act of 2017 (the TCJA) that was signed into law in December 2017 from accumulated other comprehensive income directly to retained earnings. The stranded tax effects result from the remeasurement of deferred tax assets and liabilities which were originally recorded in comprehensive income but whose remeasurement is reflected in the income statement. The Company adopted this standard effective January 1, 2019, and upon adoption recorded a cumulative adjustment of less than $0.1 million to reclassify the stranded tax effects of unrealized gains and losses on available-for-sale securities from accumulated other comprehensive loss to accumulated deficit. The adoption of this standard did not have a material impact on the Company’s financial position or results of operations.</w:t>
      </w:r>
    </w:p>
    <w:p>
      <w:pPr>
        <w:spacing w:after="0" w:line="185"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April 2017, the FASB issued ASU 2017-08, </w:t>
      </w:r>
      <w:r>
        <w:rPr>
          <w:rFonts w:ascii="Times New Roman" w:cs="Times New Roman" w:eastAsia="Times New Roman" w:hAnsi="Times New Roman"/>
          <w:sz w:val="18"/>
          <w:szCs w:val="18"/>
          <w:i w:val="1"/>
          <w:iCs w:val="1"/>
          <w:color w:val="auto"/>
        </w:rPr>
        <w:t>Receivables—Nonrefundable Fees and Other Costs (Subtopic 310-20)</w:t>
      </w:r>
      <w:r>
        <w:rPr>
          <w:rFonts w:ascii="Times New Roman" w:cs="Times New Roman" w:eastAsia="Times New Roman" w:hAnsi="Times New Roman"/>
          <w:sz w:val="18"/>
          <w:szCs w:val="18"/>
          <w:color w:val="auto"/>
        </w:rPr>
        <w:t>, which amends the required amortization period for certain purchased callable debt securities held at a premium by shortening the amortization period for the premium to the earliest call date. The Company adopted this standard effective January 1, 2019. The adoption of this standard required no cumulative-effect adjustments and did not have a material impact on the Company’s financial position or results of operations.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7"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which modifies certain disclosure requirements regarding fair value measurements. The standard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beginning January 1, 2020, with early adoption permitted upon issuance. The Company does not believe the application of this standard will have a material impact on the Company’s disclosures.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amends the accounting for credit losses for most financial assets and certain other instruments. The standard requires that entities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that are not accounted for at fair value through net income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standard is effective for the Company beginning January 1, 2020, with early adoption permitted for annual and interim periods beginning January 1, 2019. The Company does not believe the application of this standard will have a material impact on the Company’s financial position or results of operations.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present a summary of the Company’s marketable securities, which consist solely of available-for-sale debt securities (in thousands):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and federal agency securities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and federal agency securities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2019 and December 31, 2018, no available-for-sale securities had remaining maturities greater than three years.</w:t>
      </w:r>
    </w:p>
    <w:p>
      <w:pPr>
        <w:spacing w:after="0" w:line="225"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amortized cost of available-for-sale securities is adjusted for amortization of premiums and accretion of discounts to maturity, or to the earliest call date for callable debt securities purchased at a premium. As of March 31, 2019 and December 31, 2018, the balance in the Company’s accumulated other comprehensive loss consisted solely of net unrealized gains and losses on available-for-sale securities, net of income tax effects and reclassification adjustments for realized gains and losses.</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2019, the Company recognized net unrealized gains on available-for-sale securities of $1.0 million and income tax expense of $0.4 million in other comprehensive income for the period. The Company recognized net realized gains of less than $0.1 million on the sale or maturity of available-for-sale securities during the three months ended March 31, 2019, which were reclassified out of accumulated other comprehensive loss during the period and are included in investment income in the consolidated statements of operations and comprehensive income (loss). During the three months ended March 31, 2018, the Company recognized net unrealized losses on available-for-sale securities of $0.2 million and income tax expense of zero in other comprehensive loss for the period. The Company did not recognize any realized gains or losses on the sale or maturity of available-for-sale securities during the three months ended March 31, 2018. Realized gains and losses from the sale or maturity of marketable securities are determined based on the specific identification method.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7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values and unrealized losses of marketable securities held by the Company in an unrealized loss position for less than 12 months and 12 months or greater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and federal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agency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and federal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agency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53,124</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245,283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298,407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310,831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marketable securities held by the Company which were in an unrealized loss position consisted of 40 investment grade security positions. The Company has the intent and ability to hold such securities until recovery and has determined that none of its investments were other-than-temporarily impaired as of March 31, 2019 or December 31, 2018.</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Financial instruments reported at fair value on a recurring basis include cash equivalents and marketable securities. The following tables present the fair value of cash equivalents and marketable securities in accordance with the hierarchy discussed in Note 2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w w:val="99"/>
              </w:rPr>
              <w:t>in active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7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equivalents:</w:t>
            </w: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540" w:type="dxa"/>
            <w:vAlign w:val="bottom"/>
            <w:gridSpan w:val="2"/>
            <w:shd w:val="clear" w:color="auto" w:fill="CFF0FC"/>
          </w:tcPr>
          <w:p>
            <w:pPr>
              <w:jc w:val="right"/>
              <w:ind w:right="66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cash equivalents</w:t>
            </w:r>
          </w:p>
        </w:tc>
        <w:tc>
          <w:tcPr>
            <w:tcW w:w="7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55,834</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government and federal agency securities</w:t>
            </w: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Certificates of deposit</w:t>
            </w: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Corporate bonds</w:t>
            </w:r>
          </w:p>
        </w:tc>
        <w:tc>
          <w:tcPr>
            <w:tcW w:w="7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273,445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273,445</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7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388,456</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388,456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720" w:type="dxa"/>
            <w:vAlign w:val="bottom"/>
          </w:tcPr>
          <w:p>
            <w:pPr>
              <w:spacing w:after="0"/>
              <w:rPr>
                <w:sz w:val="19"/>
                <w:szCs w:val="19"/>
                <w:color w:val="auto"/>
              </w:rPr>
            </w:pPr>
          </w:p>
        </w:tc>
        <w:tc>
          <w:tcPr>
            <w:tcW w:w="82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444,290</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w w:val="99"/>
              </w:rPr>
              <w:t>in active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5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equivalents:</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380" w:type="dxa"/>
            <w:vAlign w:val="bottom"/>
            <w:gridSpan w:val="2"/>
            <w:shd w:val="clear" w:color="auto" w:fill="CFF0FC"/>
          </w:tcPr>
          <w:p>
            <w:pPr>
              <w:jc w:val="right"/>
              <w:ind w:right="66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cash equivalents</w:t>
            </w:r>
          </w:p>
        </w:tc>
        <w:tc>
          <w:tcPr>
            <w:tcW w:w="5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5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government and federal agency securities</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103,466</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Certificates of deposit</w:t>
            </w:r>
          </w:p>
        </w:tc>
        <w:tc>
          <w:tcPr>
            <w:tcW w:w="5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bonds</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282,561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282,561</w:t>
            </w:r>
          </w:p>
        </w:tc>
        <w:tc>
          <w:tcPr>
            <w:tcW w:w="100" w:type="dxa"/>
            <w:vAlign w:val="bottom"/>
          </w:tcPr>
          <w:p>
            <w:pPr>
              <w:spacing w:after="0"/>
              <w:rPr>
                <w:sz w:val="19"/>
                <w:szCs w:val="19"/>
                <w:color w:val="auto"/>
              </w:rPr>
            </w:pPr>
          </w:p>
        </w:tc>
      </w:tr>
      <w:tr>
        <w:trPr>
          <w:trHeight w:val="223"/>
        </w:trPr>
        <w:tc>
          <w:tcPr>
            <w:tcW w:w="47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5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560" w:type="dxa"/>
            <w:vAlign w:val="bottom"/>
          </w:tcPr>
          <w:p>
            <w:pPr>
              <w:spacing w:after="0"/>
              <w:rPr>
                <w:sz w:val="19"/>
                <w:szCs w:val="19"/>
                <w:color w:val="auto"/>
              </w:rPr>
            </w:pPr>
          </w:p>
        </w:tc>
        <w:tc>
          <w:tcPr>
            <w:tcW w:w="82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470,561</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470,561</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levels of the fair value hierarchy during the three months ended March 31, 2019.</w:t>
      </w:r>
    </w:p>
    <w:p>
      <w:pPr>
        <w:spacing w:after="0" w:line="225"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18"/>
          <w:szCs w:val="18"/>
          <w:color w:val="auto"/>
        </w:rPr>
        <w:t>Management estimates that the carrying amounts of its current accounts receivable, accounts payable and accrued expenses and other current liabilities approximate fair value due to the short-term nature of those instruments. Accounts receivable which contain non-current portions are recorded at their present values using a discount rate that is based on prevailing market rates and the credit profile of the licensee on the date the amounts are initially recorded.</w:t>
      </w:r>
    </w:p>
    <w:p>
      <w:pPr>
        <w:spacing w:after="0" w:line="2"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Management does not believe there have been any significant changes in market conditions or credit quality that would cause the discount rates initially used to be significantly different from those that would be used as of March 31, 2019 to determine the present value of the receivables. Accordingly, management estimates that the carrying value of its non-current accounts receivable approximates the fair value of those instruments.</w:t>
      </w:r>
    </w:p>
    <w:p>
      <w:pPr>
        <w:spacing w:after="0" w:line="18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Company’s non-marketable equity securities are measured at cost less impairment, adjusted for observable price changes for identical or similar investments of the same issuer. As of March 31, 2019 and December 31, 2018, non-marketable equity securities had carrying values of $0.4 million and were included in other assets on the consolidated balance sheets. Since the acquisition of the securities, the Company has not identified any observable price changes or changes in circumstances that would have had an adverse effect on the fair value of the securities as of March 31, 2019 and December 31, 2018. No remeasurements or impairment losses were recorded on non-marketable equity securities during the three months ended March 31, 2019 and 2018.</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(8,833)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(7,237)</w:t>
            </w:r>
          </w:p>
        </w:tc>
      </w:tr>
      <w:tr>
        <w:trPr>
          <w:trHeight w:val="223"/>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Construction-in-progress reported in the table above as of December 31, 2018 consisted of certain costs incurred and reported by the Company’s landlord at 9800 Medical Center Drive. Upon the adoption of Topic 842 on January 1, 2019, the Company derecognized the cumulative amount of construction costs incurred by the landlord of $5.9 million. Please refer to Note 2 for further information on the Company’s adoption of Topic 842 and Note 6 for further information on the Company’s lease agreement for the facility at 9800 Medical Center Drive.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520" w:right="8680" w:hanging="512"/>
        <w:spacing w:after="0" w:line="376" w:lineRule="auto"/>
        <w:tabs>
          <w:tab w:leader="none" w:pos="18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 Commitments</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9800 Medical Center Drive Lease</w:t>
      </w:r>
    </w:p>
    <w:p>
      <w:pPr>
        <w:spacing w:after="0" w:line="119"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In November 2018, the Company entered into a lease for approximately 132,000 square feet of office and laboratory facilities in a new building to be constructed at 9800 Medical Center Drive in Rockville, Maryland (the 9800 Medical Center Drive Lease). Construction of the new building, which will be conducted by the landlord, is expected to be completed in 2020 and the lease will expire approximately 16 years from the delivery of the leased premises to the Company, subject to certain extension and termination options. Under the original terms of the 9800 Medical Center Drive Lease, which was amended in April 2019 as discussed further below, the Company was entitled to receive a $14.6 million tenant improvement allowance from the landlord to construct additional improvements to the leased premises. The Company has the option to extend the term of the lease for up to 10 additional years and the option to terminate the lease after 12 years from the delivery of the leased premises to the Company. If the Company elects to terminate the lease, it will be subject to a termination fee equal to the unamortized tenant improvement allowance, rent abatement and landlord commissions as of the termination date, bearing interest at 5% per annum, plus four months of base rent and operating expenses. Additionally, after delivery of the leased premises under the 9800 Medical Center Drive Lease, the Company will have the option to terminate its lease at 9712 Medical Center Drive with six months’ notice. Monthly payments under the 9800 Medical Center Drive Lease begin approximately 12 months from the delivery of the leased premises to the Company and escalate annually in accordance with the lease agreement. As required by the lease agreement, the Company has provided the landlord with an irrevocable letter of credit of $0.8 million which the landlord may draw upon in the event of any uncured default by the Company under the terms of the lease.</w:t>
      </w:r>
    </w:p>
    <w:p>
      <w:pPr>
        <w:spacing w:after="0" w:line="18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The Company is involved in the construction project for the leased premises at 9800 Medical Center Drive, including having the responsibility to pay for a portion of the costs of non-normal tenant improvements such as finish work, mechanical, electrical and plumbing elements of the building, among other items. As of December 31, 2018, under the requirements of Topic 840, the Company was deemed the owner of the leased premises during the construction period for accounting purposes and certain estimated construction costs incurred and reported by the landlord were recorded as property and equipment, with a corresponding financing lease obligation, on the consolidated balance sheet. The Company has determined that it does not control the building during the construction period under the requirements of Topic 842. Accordingly, upon the adoption of Topic 842 on January 1, 2019, the Company derecognized the property and equipment of $5.9 million for the cumulative costs of construction incurred by the landlord as well as the associated $5.9 million financing lease obligation. As of March 31, 2019, the Company had incurred $0.3 million of costs related to construction-in-progress at 9800 Medical Center Drive, which have been recorded as leasehold improvements within property and equipment on the consolidated balance sheets. In April 2019, the Company agreed to pay $4.0 million to the landlord to fund certain costs of construction related to material changes in the design and construction of the building requested by the Company.</w:t>
      </w:r>
    </w:p>
    <w:p>
      <w:pPr>
        <w:spacing w:after="0" w:line="193"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right-of-use assets and lease liabilities related to the 9800 Medical Center Drive Lease have not been recorded on the Company’s consolidated balance sheets as of March 31, 2019 and will be measured and recognized on the commencement date of the lease, which is expected to occur in 2020 when the landlord delivers the newly constructed facility to the Company.</w:t>
      </w:r>
    </w:p>
    <w:p>
      <w:pPr>
        <w:spacing w:after="0" w:line="17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April 2019, the Company amended the 9800 Medical Center Drive Lease to expand the leased premises to include an additional 5,975 square feet of the building over the term of the lease. As a result of the amendment, the total amount of future rent under the 9800 Medical Center Drive Lease was increased by $4.0 million and the Company’s tenant improvement allowance under the lease was increased to $15.3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Lease Commitments</w:t>
      </w:r>
    </w:p>
    <w:p>
      <w:pPr>
        <w:spacing w:after="0" w:line="119"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March 2015, the Company entered into a non-cancelable operating lease for office space at 9712 Medical Center Drive in Rockville, Maryland (the 9712 Medical Center Drive Lease). The lease term commenced in April 2015. Monthly payments under the lease began in October 2015 and escalate annually in accordance with the lease agreement.</w:t>
      </w:r>
    </w:p>
    <w:p>
      <w:pPr>
        <w:spacing w:after="0" w:line="17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September 2015, November 2015, July 2017 and April 2018, the Company amended the 9712 Medical Center Drive Lease to include additional office and laboratory space at 9714 Medical Center Drive, and ultimately extend the term of the lease to September 2021. The Company has options to extend the term of the 9712 Medical Center Drive Lease for up to six additional years. Additionally, upon the commencement of the 9800 Medical Center Drive Lease, the Company will have the option to terminate the 9712 Medical Center Drive Lease with six months’ notice. The Company’s extension and termination options under the 9712 Medical Center Drive Lease have been excluded from the measurement of the right-of-use assets and lease liabilities for the lease as they are not reasonably certain of exercise. The Company received a $0.4 million tenant improvement allowance from the landlord which has been recorded as a reduction of the right-of-use assets for the lease and is amortized on a straight-line basis as a reduction of rent expense over the term of the lease.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January 2016, the Company entered into a 7.5-year, non-cancelable operating lease for its corporate headquarters at 9600 Blackwell Road in Rockville, Maryland (the Blackwell Road Lease). The lease commenced in February 2016 and expires in September 2023. The Company has an option to extend the term of the Blackwell Road Lease for up to five additional years and the option to terminate the lease after 67 months from the lease commencement date. If the Company elects to terminate the lease, it will be subject to a termination fee equal to the unamortized tenant improvement allowance, rent abatement and landlord costs and commissions as of the termination date, bearing interest at 8% per annum. The Company’s extension and termination options under the Blackwell Road Lease have been excluded from the measurement of the right-of-use assets and lease liabilities for the lease as they are not reasonably certain of exercise. In November 2017, the Blackwell Road Lease was amended to include additional office space for the remainder of the lease term. Monthly payments under the lease began in September 2016 and escalate annually in accordance with the lease agreement. The Company received a $0.8 million tenant improvement allowance from the landlord which has been recorded as a reduction of the right-of-use assets for the lease and is amortized on a straight-line basis as a reduction of rent expense over the term of the lease.</w:t>
      </w:r>
    </w:p>
    <w:p>
      <w:pPr>
        <w:spacing w:after="0" w:line="186"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Company leases additional office and laboratory facilities in Rockville, Maryland and New York, New York, as well as laboratory and other equipment, under non-cancelable operating leases with various expiration dates through 2022 and which may contain annual escalations of rental payments. As required by the Company’s lease agreement for its office space in New York, New York, the Company has provided the landlord with an irrevocable letter of credit of $0.2 million which the landlord may draw upon in the event of any uncured default by the Company under the terms of the lease.</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All of the Company’s leases are classified as operating leases. The following table summarizes the Company’s lease costs and supplemental cash flow information related to operating leases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1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4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acquired through operating lease liabilities</w:t>
            </w:r>
          </w:p>
        </w:tc>
        <w:tc>
          <w:tcPr>
            <w:tcW w:w="14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Variable lease cost under the Company’s operating leases includes items such as common area maintenance, utilities, taxes and other charges.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of the Company’s operating leases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580" w:type="dxa"/>
            <w:vAlign w:val="bottom"/>
          </w:tcPr>
          <w:p>
            <w:pPr>
              <w:spacing w:after="0"/>
              <w:rPr>
                <w:sz w:val="14"/>
                <w:szCs w:val="14"/>
                <w:color w:val="auto"/>
              </w:rPr>
            </w:pPr>
          </w:p>
        </w:tc>
      </w:tr>
      <w:tr>
        <w:trPr>
          <w:trHeight w:val="173"/>
        </w:trPr>
        <w:tc>
          <w:tcPr>
            <w:tcW w:w="5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58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9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6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5.6%</w:t>
            </w:r>
          </w:p>
        </w:tc>
        <w:tc>
          <w:tcPr>
            <w:tcW w:w="580" w:type="dxa"/>
            <w:vAlign w:val="bottom"/>
          </w:tcPr>
          <w:p>
            <w:pPr>
              <w:spacing w:after="0"/>
              <w:rPr>
                <w:sz w:val="20"/>
                <w:szCs w:val="20"/>
                <w:color w:val="auto"/>
              </w:rPr>
            </w:pPr>
          </w:p>
        </w:tc>
      </w:tr>
      <w:tr>
        <w:trPr>
          <w:trHeight w:val="643"/>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0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15</w:t>
            </w: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71" w:lineRule="exact"/>
        <w:rPr>
          <w:sz w:val="20"/>
          <w:szCs w:val="20"/>
          <w:color w:val="auto"/>
        </w:rPr>
      </w:pPr>
    </w:p>
    <w:p>
      <w:pPr>
        <w:ind w:right="140" w:firstLine="518"/>
        <w:spacing w:after="0" w:line="313" w:lineRule="auto"/>
        <w:rPr>
          <w:sz w:val="20"/>
          <w:szCs w:val="20"/>
          <w:color w:val="auto"/>
        </w:rPr>
      </w:pPr>
      <w:r>
        <w:rPr>
          <w:rFonts w:ascii="Times New Roman" w:cs="Times New Roman" w:eastAsia="Times New Roman" w:hAnsi="Times New Roman"/>
          <w:sz w:val="17"/>
          <w:szCs w:val="17"/>
          <w:color w:val="auto"/>
        </w:rPr>
        <w:t>The following table presents a reconciliation of the undiscounted future minimum lease payments remaining under the 9800 Medical Center Drive Lease and other operating leases to the amounts reported as operating lease liabilities on the consolidated balance sheet as of March 31, 2019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9800 Medical</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Center Drive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73"/>
        </w:trPr>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Lease (a)</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Payments</w:t>
            </w:r>
          </w:p>
        </w:tc>
      </w:tr>
      <w:tr>
        <w:trPr>
          <w:trHeight w:val="223"/>
        </w:trPr>
        <w:tc>
          <w:tcPr>
            <w:tcW w:w="580" w:type="dxa"/>
            <w:vAlign w:val="bottom"/>
          </w:tcPr>
          <w:p>
            <w:pPr>
              <w:spacing w:after="0"/>
              <w:rPr>
                <w:sz w:val="19"/>
                <w:szCs w:val="19"/>
                <w:color w:val="auto"/>
              </w:rPr>
            </w:pPr>
          </w:p>
        </w:tc>
        <w:tc>
          <w:tcPr>
            <w:tcW w:w="47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Undiscounted future minimum lease payments:</w:t>
            </w:r>
          </w:p>
        </w:tc>
        <w:tc>
          <w:tcPr>
            <w:tcW w:w="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2019 (remainder of year)</w:t>
            </w:r>
          </w:p>
        </w:tc>
        <w:tc>
          <w:tcPr>
            <w:tcW w:w="7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37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3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37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3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76,892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76,892</w:t>
            </w:r>
          </w:p>
        </w:tc>
        <w:tc>
          <w:tcPr>
            <w:tcW w:w="120" w:type="dxa"/>
            <w:vAlign w:val="bottom"/>
            <w:shd w:val="clear" w:color="auto" w:fill="CFF0FC"/>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47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5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87,720</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96,317</w:t>
            </w:r>
          </w:p>
        </w:tc>
        <w:tc>
          <w:tcPr>
            <w:tcW w:w="120" w:type="dxa"/>
            <w:vAlign w:val="bottom"/>
            <w:tcBorders>
              <w:bottom w:val="single" w:sz="8" w:color="CFF0FC"/>
            </w:tcBorders>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 representing imputed interest</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2" w:lineRule="exact"/>
        <w:rPr>
          <w:sz w:val="20"/>
          <w:szCs w:val="20"/>
          <w:color w:val="auto"/>
        </w:rPr>
      </w:pPr>
    </w:p>
    <w:p>
      <w:pPr>
        <w:ind w:left="520" w:right="42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Undiscounted future minimum lease payments under the 9800 Medical Center Drive Lease are not included in the lease liabilities reported on the consolidated balance sheet as of March 31, 2019 as the lease has not yet commenced. The actual timing and amounts of payments under the 9800 Medical Center Drive Lease are subject to adjustment based on the completion date of construction and actual square footage of the facility constructed. Accordingly, these amounts were estimates as of March 31, 2019.</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2018, future minimum lease payments under Topic 840 for the 9800 Medical Center Drive Lease and other operating leases were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9800 Medical</w:t>
            </w:r>
          </w:p>
        </w:tc>
        <w:tc>
          <w:tcPr>
            <w:tcW w:w="240" w:type="dxa"/>
            <w:vAlign w:val="bottom"/>
          </w:tcPr>
          <w:p>
            <w:pPr>
              <w:spacing w:after="0"/>
              <w:rPr>
                <w:sz w:val="14"/>
                <w:szCs w:val="14"/>
                <w:color w:val="auto"/>
              </w:rPr>
            </w:pPr>
          </w:p>
        </w:tc>
        <w:tc>
          <w:tcPr>
            <w:tcW w:w="1040" w:type="dxa"/>
            <w:vAlign w:val="bottom"/>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Center Drive</w:t>
            </w:r>
          </w:p>
        </w:tc>
        <w:tc>
          <w:tcPr>
            <w:tcW w:w="240" w:type="dxa"/>
            <w:vAlign w:val="bottom"/>
          </w:tcPr>
          <w:p>
            <w:pPr>
              <w:spacing w:after="0"/>
              <w:rPr>
                <w:sz w:val="14"/>
                <w:szCs w:val="14"/>
                <w:color w:val="auto"/>
              </w:rPr>
            </w:pPr>
          </w:p>
        </w:tc>
        <w:tc>
          <w:tcPr>
            <w:tcW w:w="1040" w:type="dxa"/>
            <w:vAlign w:val="bottom"/>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Minimum Lease</w:t>
            </w:r>
          </w:p>
        </w:tc>
      </w:tr>
      <w:tr>
        <w:trPr>
          <w:trHeight w:val="173"/>
        </w:trPr>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Lease (a)</w:t>
            </w:r>
          </w:p>
        </w:tc>
        <w:tc>
          <w:tcPr>
            <w:tcW w:w="240" w:type="dxa"/>
            <w:vAlign w:val="bottom"/>
          </w:tcPr>
          <w:p>
            <w:pPr>
              <w:spacing w:after="0"/>
              <w:rPr>
                <w:sz w:val="15"/>
                <w:szCs w:val="15"/>
                <w:color w:val="auto"/>
              </w:rPr>
            </w:pPr>
          </w:p>
        </w:tc>
        <w:tc>
          <w:tcPr>
            <w:tcW w:w="1040" w:type="dxa"/>
            <w:vAlign w:val="bottom"/>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223"/>
        </w:trPr>
        <w:tc>
          <w:tcPr>
            <w:tcW w:w="580" w:type="dxa"/>
            <w:vAlign w:val="bottom"/>
          </w:tcPr>
          <w:p>
            <w:pPr>
              <w:spacing w:after="0"/>
              <w:rPr>
                <w:sz w:val="19"/>
                <w:szCs w:val="19"/>
                <w:color w:val="auto"/>
              </w:rPr>
            </w:pPr>
          </w:p>
        </w:tc>
        <w:tc>
          <w:tcPr>
            <w:tcW w:w="96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2019</w:t>
            </w:r>
          </w:p>
        </w:tc>
        <w:tc>
          <w:tcPr>
            <w:tcW w:w="4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2,798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3,054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4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2,391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4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8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76,420</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76,420</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8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87,194</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9,343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520" w:hanging="512"/>
        <w:spacing w:after="0" w:line="261"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future minimum lease payments under the 9800 Medical Center Drive Lease, including amounts recorded as financing lease obligations on the consolidated balance sheet. The actual timing and amounts of payments under the 9800 Medical Center Drive Lease are subject to adjustment based on the completion date of construction and actual square footage of the facility constructed. Accordingly, these amounts were estimates as of December 31, 2018.</w:t>
      </w:r>
    </w:p>
    <w:p>
      <w:pPr>
        <w:spacing w:after="0" w:line="284"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License from The Trustees of the University of Pennsylvania</w:t>
      </w:r>
    </w:p>
    <w:p>
      <w:pPr>
        <w:spacing w:after="0" w:line="12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In February 2009, the Company entered into a license agreement, which has been amended from time to time, with The Trustees of the University of Pennsylvania (together with the University of Pennsylvania, Penn) for exclusive, worldwide rights to certain patents owned by Penn underlying the Company’s NAV Technology Platform, as well as exclusive rights to certain data, results and other information generated in connection with the clinical trial for RGX-501, the Company’s product candidate for the treatment of homozygous familial hypercholesterolemia (HoFH). In consideration for the license, the Company issued Penn an equity interest in the Company and is obligated to pay Penn royalties on net sales of licensed products and sublicense fees. Additionally, the Company is obligated to reimburse Penn for certain costs incurred related to the maintenance of the licensed patents.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In April 2019, the Company amended its license from Penn to include exclusive license rights to certain know-how, including research data and other information, relating to the treatment of late-infantile neuronal ceroid lipofuscinosis type 2 (CLN2) disease. In consideration for the additional licensed rights, and in addition to any consideration owed under the license prior to the amendment, the Company is obligated to pay Penn an upfront fee, milestone fees of up to $20.5 million upon the achievement of various development and sales-based milestones and additional royalties on net sales of licensed products for the treatment of CLN2 disease. Additionally, the amendment modifies the percentage of sublicense fees the Company is obligated to pay Penn on amounts the Company receives from third parties for the sublicensing of the licensed rights for the treatment of CLN2 disease.</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Patent Office Proceeding</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June 2017, a third party filed an opposition with the European Patent Office (EPO) challenging the validity of a European patent owned by Penn for the AAV8 vector, which the Company has exclusively licensed (EU AAV8 Patent). The EPO conducted oral proceedings in October 2018 and upheld the validity of the EU AAV8 Patent subject to certain amendments made during the proceeding. Each party to the proceeding has appealed the EPO’s ruling. As of March 31, 2019 and December 31, 2018, the Company had not recorded any liabilities related to this matter nor does the Company believe this matter will have a material adverse impact on its business.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Revenue</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of March 31, 2019, the Company’s NAV Technology Platform was being applied in the development of more than 20 partnered product candidates by 11 NAV Technology Licensees. Consideration to the Company under its license agreements may include: (i) up-front and annual fees, (ii) option fees to acquire additional licenses, (iii) milestone payments based on the achievement of certain development and sales-based milestones by licensees, (iv) sublicense fees and (v) royalties on sales of licensed products. Sublicense fees vary by license and range from a mid-single digit percentage to a low-double digit percentage of license fees received by licensees as a result of sublicenses. Royalties on net sales of commercialized products vary by license and range from a mid-single digit percentage to a low double-digit percentage of net sales by licensees. To date the Company has not recognized any revenue from the achievement of sales-based milestones or royalties on sales of licensed products.</w:t>
      </w:r>
    </w:p>
    <w:p>
      <w:pPr>
        <w:spacing w:after="0" w:line="18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Development milestone payments are only included in the transaction price of each license and recognized as revenue to the extent they are considered probable of achievement. Sales-based milestones are excluded from the transaction price of each license agreement and recognized as revenue in the period of achievement. As of March 31, 2019, the Company’s license agreements, excluding additional licenses that could be granted upon the exercise of options by licensees, contained unachieved milestones which could result in aggregate milestone payments to the Company of up to $29.6 million upon the commencement of various stages of clinical trials, $47.5 million upon the submission of regulatory approval filings, $117.5 million upon the approval of commercial products by regulatory agencies and $232.0 million upon the achievement of specified sales targets for licensed products. To the extent the milestone payments are realized by the Company, the Company will be obligated to pay sublicense fees to licensors based on a specified percentage of the fees earned by the Company. The achievement of milestones by licensees is highly dependent on the successful development and commercialization of licensed products and it is at least reasonably possible that some or all of the milestone fees will not be realized by the Company.</w:t>
      </w:r>
    </w:p>
    <w:p>
      <w:pPr>
        <w:spacing w:after="0" w:line="189"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balances of the Company’s receivables, contract assets and contract liabilities during the periods presented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Net Additions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160" w:type="dxa"/>
            <w:vAlign w:val="bottom"/>
          </w:tcPr>
          <w:p>
            <w:pPr>
              <w:spacing w:after="0"/>
              <w:rPr>
                <w:sz w:val="14"/>
                <w:szCs w:val="14"/>
                <w:color w:val="auto"/>
              </w:rPr>
            </w:pPr>
          </w:p>
        </w:tc>
      </w:tr>
      <w:tr>
        <w:trPr>
          <w:trHeight w:val="173"/>
        </w:trPr>
        <w:tc>
          <w:tcPr>
            <w:tcW w:w="11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160" w:type="dxa"/>
            <w:vAlign w:val="bottom"/>
          </w:tcPr>
          <w:p>
            <w:pPr>
              <w:spacing w:after="0"/>
              <w:rPr>
                <w:sz w:val="15"/>
                <w:szCs w:val="15"/>
                <w:color w:val="auto"/>
              </w:rPr>
            </w:pPr>
          </w:p>
        </w:tc>
      </w:tr>
      <w:tr>
        <w:trPr>
          <w:trHeight w:val="223"/>
        </w:trPr>
        <w:tc>
          <w:tcPr>
            <w:tcW w:w="116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7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Receivables and contract assets: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1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receivable, current and non-current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Contract assets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27"/>
        </w:trPr>
        <w:tc>
          <w:tcPr>
            <w:tcW w:w="1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Net Additions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 of Period</w:t>
            </w: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Receivables and contract assets: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receivable, current and non-current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52,762</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Contract assets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The net increase in the balance of accounts receivable during the three months ended March 31, 2018 was primarily attributable to the January 2018 amendment to the license agreement with AveXis, Inc. (AveXis) for the development and commercialization of treatments for spinal muscular atrophy (SMA). As of March 31, 2018, the Company had recorded accounts receivable, current and non-current, of $53.5 million related to the amended license agreement with AveXis.</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As of March 31, 2019, the Company had recorded deferred revenue, current and non-current, of $3.9 million which represents consideration received from licensees for performance obligations that have not yet been satisfied by the Company. Unsatisfied performance obligations consist of options granted to licensees that provide material rights to the licensee to acquire additional licenses from the Company. These performance obligations will be satisfied, and underlying revenue will be recognized, upon the exercise or expiration of the options.</w:t>
      </w:r>
    </w:p>
    <w:p>
      <w:pPr>
        <w:spacing w:after="0" w:line="180"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recognized license revenue of $0.8 million and $0.3 million, respectively, from licenses delivered to licensees in prior periods as a result of changes in the transaction prices of its license agreements. Changes in the transaction price were primarily attributable to development milestones achieved or deemed probable of achievement during the period that were previously not considered probable of achievement.</w:t>
      </w:r>
    </w:p>
    <w:p>
      <w:pPr>
        <w:spacing w:after="0" w:line="1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the Company had recorded total current and non-current accounts receivable of $31.1 million, of which $0.1 million had been billed to customers and $31.0 million was billable to customers in future periods. As of December 31, 2018, the Company had recorded total current and non-current accounts receivable of $31.6 million, of which $0.4 million had been billed to customers and $31.2 million was billable to customers in future periods.</w:t>
      </w:r>
    </w:p>
    <w:p>
      <w:pPr>
        <w:spacing w:after="0" w:line="176" w:lineRule="exact"/>
        <w:rPr>
          <w:sz w:val="20"/>
          <w:szCs w:val="20"/>
          <w:color w:val="auto"/>
        </w:rPr>
      </w:pPr>
    </w:p>
    <w:p>
      <w:pPr>
        <w:ind w:right="420" w:firstLine="518"/>
        <w:spacing w:after="0" w:line="256" w:lineRule="auto"/>
        <w:rPr>
          <w:sz w:val="20"/>
          <w:szCs w:val="20"/>
          <w:color w:val="auto"/>
        </w:rPr>
      </w:pPr>
      <w:r>
        <w:rPr>
          <w:rFonts w:ascii="Times New Roman" w:cs="Times New Roman" w:eastAsia="Times New Roman" w:hAnsi="Times New Roman"/>
          <w:sz w:val="18"/>
          <w:szCs w:val="18"/>
          <w:color w:val="auto"/>
        </w:rPr>
        <w:t>Accounts receivable, current and non-current, as of March 31, 2019 and December 2018 included $26.7 million and $26.0 million, respectively, related to the November 2018 license agreement with Abeona Therapeutics Inc. for the development and commercialization of treatments for various diseases. The Company believes that it is not exposed to significant credit risk related to accounts receivable due to the credit quality and history of collections from its significant customers. The Company is unaware of any concentrations of credit risk related to accounts receivable from significant customers with deteriorated credit quality. As of March 31, 2019 and December 31, 2018, the Company had not recognized any impairment losses on its receivables or contract assets from contracts with customers.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AveXis March 2014 License and January 2018 Amendment</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 xml:space="preserve">In March 2014, the Company entered into an exclusive license agreement (the March 2014 License) with AveXis. Under the license, the Company granted AveXis an exclusive, worldwide commercial license, with rights to sublicense, to the NAV AAV9 vector for the treatment of SMA in humans by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gene therapy. In consideration for the license, AveXis paid the Company an up-front fee of $2.0 million, and is required to pay annual fees,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 payments of up to $12.3 million, mid-single to low double-digit royalties on net sales of licensed products, subject to reduction in specified circumstances, and a lower mid-double digit percentage of any sublicense fees AveXis receives from sublicensees for the licensed intellectual property rights.</w:t>
      </w:r>
    </w:p>
    <w:p>
      <w:pPr>
        <w:spacing w:after="0" w:line="184"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 xml:space="preserve">In January 2018, the Company and AveXis amended the March 2014 License (the January 2018 Amendment). Under the January 2018 Amendment, the licensed intellectual property was expanded to include, in addition to the NAV AAV9 vector previously licensed, sublicenses to other third-party patents exclusively licensed by the Company as well as any other recombinant AAV vector in the Company’s intellectual property portfolio during a period of 14 years from the effective date of the January 2018 Amendment, for the treatment of SMA in humans by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The Company may also, in its sole discretion, provide specified collaborative services to AveXis as specified in the January 2018 Amendment.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jc w:val="both"/>
        <w:ind w:right="80" w:firstLine="518"/>
        <w:spacing w:after="0" w:line="289" w:lineRule="auto"/>
        <w:rPr>
          <w:sz w:val="20"/>
          <w:szCs w:val="20"/>
          <w:color w:val="auto"/>
        </w:rPr>
      </w:pPr>
      <w:r>
        <w:rPr>
          <w:rFonts w:ascii="Times New Roman" w:cs="Times New Roman" w:eastAsia="Times New Roman" w:hAnsi="Times New Roman"/>
          <w:sz w:val="17"/>
          <w:szCs w:val="17"/>
          <w:color w:val="auto"/>
        </w:rPr>
        <w:t>The January 2018 Amendment also modified the assignment provision of the March 2014 License. Under the amended assignment provision, AveXis was permitted to transfer the March 2014 License, as amended, without the Company’s consent in connection with a change of control of AveXis, subject to certain conditions. Under the original March 2014 License, any assignment by AveXis without the Company’s prior written consent had been prohibited.</w:t>
      </w:r>
    </w:p>
    <w:p>
      <w:pPr>
        <w:spacing w:after="0" w:line="15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consideration for the additional rights granted under the January 2018 Amendment, and in addition to any consideration owed under the original March 2014 License, AveXis paid to the Company a fee of $80.0 million upon entry into the January 2018 Amendment. In addition, AveXis was obligated to pay the Company (i) $30.0 million on the first anniversary of the effective date of the January 2018 Amendment, (ii) $30.0 million on the second anniversary of the effective date of the January 2018 Amendment and (iii) potential sales-based milestone payments of up to $120.0 million. In the event of a change of control of AveXis, to the extent that any fee described in (i) or (ii) above, or the first $40.0 million of sales-based milestone payments described in (iii) above, had not yet been paid to the Company, AveXis was required to pay any such unpaid fee to the Company upon the change of control. For any product developed for the treatment of SMA using the NAV AAV9 vector, AveXis will continue to be obligated to pay to the Company mid-single to low double-digit royalties on net sales as required by the March 2014 License, and for any product developed for the treatment of SMA using a licensed vector other than NAV AAV9, the Company will receive a low double-digit royalty on net sales.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May 2018, AveXis was acquired by Novartis AG (Novartis), which qualified as a change of control of AveXis under the January 2018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January 2018 Amendment, AveXis paid the Company $100.0 million in accelerated license payments as a result of the change of control.</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1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January 2018 Amendment was accounted for under Topic 606 as a modification of the license agreement resulting in a new and separate contract from the original March 2014 License for revenue recognition purposes. The Company determined that a substantive termination penalty is associated with AveXis’ termination rights under the amended license agreement, and therefore the contract term for revenue recognition purposes is equal to the stated term of the license. The only material performance obligation of the Company under the January 2018 Amendment is for the delivery of the modified license, which occurred upon the execution of the amendment in January 2018.</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As of March 31, 2019, the transaction price of the original March 2014 License was $7.5 million. The transaction price includes (i) the up-front payment in March 2014 of $2.0 million, (ii) the present value of aggregate annual fees payable to the Company over the term of the license and (iii) payments for development milestones achieved to date or which are deemed probable of achievement. The discounted portion of the annual fees represents the financing benefit provided to AveXis and is recognized as interest income from licensing over the term of the license. Variable consideration under the original March 2014 License, which has been excluded from the transaction price, includes $7.0 million in payments for remaining development milestones that had not yet been achieved and were not considered probable of achievement, as well as any potential sublicense fees or royalties on sales of licensed products, which will be recognized in the period of the underlying sales or sublicenses, if any.</w:t>
      </w:r>
    </w:p>
    <w:p>
      <w:pPr>
        <w:spacing w:after="0" w:line="18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Upon its execution, the transaction price of the January 2018 Amendment was $132.1 million, which was fully recognized as license revenue upon the delivery of the modified license in January 2018. In May 2018, as a result of the acquisition of AveXis by Novartis, the transaction price was increased by $40.0 million to account for the acceleration of the sale-based milestone which was previously excluded from the transaction price. The $40.0 million increase in the transaction price was recognized as license revenue upon the completion of the change of control in May 2018 since the amended license had been fully delivered to AveXis. Additionally, due to the acceleration of the two $30.0 million payments originally due in January 2019 and January 2020, the Company recognized $6.1 million of interest income from licensing upon the completion of the change of control of AveXis, which represents the remaining present value discount on such payments as of the date of the change of control. As of March 31, 2019, the transaction price of the January 2018 Amendment was $172.1 million, which includes: (i) the $80.0 million payment in January 2018, (ii) the present value, as of the date of the January 2018 Amendment, of the two $30.0 million payments originally due in January 2019 and January 2020 and (iii) the $40.0 million sales-based milestone which was accelerated upon the change of control in May 2018. Variable consideration under the January 2018 Amendment, which has been excluded from the transaction price, includes the remaining sales-based milestone payment of $80.0 million, as well as any potential sublicense fees or royalties on sales of licensed products, which will be recognized in the period of the underlying sales or sublicenses, if any.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recognized license revenue of zero and $132.1 million, respectively, and interest income from licensing of less than $0.1 million and $1.2 million, respectively, from the March 2014 License, as amended, which includes amounts from both the original March 2014 License and the January 2018 Amendment. As of March 31, 2019 and December 31, 2018, the Company had recorded $0.2 million of accounts receivable from AveXis under the March 2014 License, as amended, of which less than $0.1 million were included in current assets and $0.2 million were included in non-current assets on the consolidated balance sheets.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January 2019, an additional 1,444,808 shares became available for issuance under the 2015 Equity Incentive Plan (the 2015 Plan). As of March 31, 2019, the total number of shares of common stock authorized for issuance under the 2015 Plan and the 2014 Stock Plan (the 2014 Plan) was 10,933,221, of which 2,583,144 remained available for future grants under the 2015 Plan.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stock-based compensation expense by award type was as follows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8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4220" w:type="dxa"/>
            <w:vAlign w:val="bottom"/>
            <w:tcBorders>
              <w:bottom w:val="single" w:sz="8" w:color="CFF0FC"/>
            </w:tcBorders>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2019, the Company had $68.9 million of unrecognized stock-based compensation expense related to stock options, restricted stock units and the 2015 Employee Stock Purchase Plan (the 2015 ESPP), which is expected to be recognized over a weighted-average period of 3.1 years.</w:t>
      </w:r>
    </w:p>
    <w:p>
      <w:pPr>
        <w:spacing w:after="0" w:line="162"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Company has recorded aggregate stock-based compensation expense in the consolidated statements of operations and comprehensive income (loss) as follows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410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FF0FC"/>
            </w:tcBorders>
            <w:shd w:val="clear" w:color="auto" w:fill="CFF0FC"/>
          </w:tcPr>
          <w:p>
            <w:pPr>
              <w:spacing w:after="0"/>
              <w:rPr>
                <w:sz w:val="19"/>
                <w:szCs w:val="19"/>
                <w:color w:val="auto"/>
              </w:rPr>
            </w:pPr>
          </w:p>
        </w:tc>
        <w:tc>
          <w:tcPr>
            <w:tcW w:w="21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2014 Plan and 2015 Plan (in thousands, except per share data):</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Value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118,185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Cancelled or forfeited</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2019</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112,324</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gridSpan w:val="2"/>
            <w:vMerge w:val="continue"/>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170,518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right="38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the dates reported.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per share of options granted during the three months ended March 31, 2019 was $32.20. During the three months ended March 31, 2019, the total number of stock options exercised was 480,320, resulting in total proceeds of $3.8 million. The total intrinsic value of options exercised during the three months ended March 31, 2019 was $20.0 million.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2015 Plan (in thousands, except per share data):</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December 31, 2018</w:t>
            </w: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March 31, 2019</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Borders>
              <w:top w:val="single" w:sz="8" w:color="CFF0FC"/>
              <w:bottom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240" w:firstLine="518"/>
        <w:spacing w:after="0" w:line="313" w:lineRule="auto"/>
        <w:rPr>
          <w:sz w:val="20"/>
          <w:szCs w:val="20"/>
          <w:color w:val="auto"/>
        </w:rPr>
      </w:pPr>
      <w:r>
        <w:rPr>
          <w:rFonts w:ascii="Times New Roman" w:cs="Times New Roman" w:eastAsia="Times New Roman" w:hAnsi="Times New Roman"/>
          <w:sz w:val="17"/>
          <w:szCs w:val="17"/>
          <w:color w:val="auto"/>
        </w:rPr>
        <w:t>As of March 31, 2019, the total number of shares of common stock authorized for issuance under the 2015 ESPP was 254,000, of which 159,339 remained available for future issuance. During the three months ended March 31, 2019, 10,241 shares of common stock were issued under the 2015 ESPP.</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deferred tax assets. Based on the Company’s history of operating losses, including a three-year cumulative loss position as of March 31, 2019 and December 31, 2018, the Company has concluded that it is more likely than not that the benefit of its deferred tax assets will not be realized. Accordingly, the Company has provided a full valuation allowance for its net deferred tax assets as of March 31, 2019 and December 31, 2018.</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the Company recognized income tax benefit of $0.1 million and income tax expense in other comprehensive income of $0.4 million related to net unrealized gains on available-for-sale securities during the period. As of March 31, 2019, the Company had accrued $0.3 million related to this tax benefit, which is expected to be generated from losses in continuing operations in 2019 and is included in accrued expenses and other current liabilities on the consolidated balance sheets.</w:t>
      </w:r>
    </w:p>
    <w:p>
      <w:pPr>
        <w:spacing w:after="0" w:line="325"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FOXKISER LLP</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Since 2016, the Company has been party to professional services agreements with FOXKISER LLP (FOXKISER), an affiliate of certain stockholders of the Company and an affiliate of a member of the Company’s Board of Directors, pursuant to which the Company pays a fixed monthly fee in consideration for certain strategic services provided by FOXKISER. Effective January 2019, the Company entered into a new professional services agreement with FOXKISER with similar terms and conditions as the previous agreements and which has a term of one year and is terminable by either party. Expenses incurred under the agreements with FOXKISER for the three months ended March 31, 2019 and 2018 were $0.8 million and $0.5 million, respectively, and were recorded as research and development expenses in the consolidated statements of operations and comprehensive income (loss).</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computations of basic and diluted net income (loss) per share are as follows (in thousands, except per share data):</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9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 applicable to common stockholders</w:t>
            </w:r>
          </w:p>
        </w:tc>
        <w:tc>
          <w:tcPr>
            <w:tcW w:w="176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(32,228)</w:t>
            </w: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used in computation:</w:t>
            </w:r>
          </w:p>
        </w:tc>
        <w:tc>
          <w:tcPr>
            <w:tcW w:w="9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9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(loss) applicable to common stockholders</w:t>
            </w:r>
          </w:p>
        </w:tc>
        <w:tc>
          <w:tcPr>
            <w:tcW w:w="176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(32,228)</w:t>
            </w:r>
          </w:p>
        </w:tc>
        <w:tc>
          <w:tcPr>
            <w:tcW w:w="340" w:type="dxa"/>
            <w:vAlign w:val="bottom"/>
            <w:gridSpan w:val="2"/>
            <w:shd w:val="clear" w:color="auto" w:fill="CFF0FC"/>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used in computation:</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Weighted-average diluted common shares</w:t>
            </w:r>
          </w:p>
        </w:tc>
        <w:tc>
          <w:tcPr>
            <w:tcW w:w="9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900" w:type="dxa"/>
            <w:vAlign w:val="bottom"/>
          </w:tcPr>
          <w:p>
            <w:pPr>
              <w:spacing w:after="0"/>
              <w:rPr>
                <w:sz w:val="19"/>
                <w:szCs w:val="19"/>
                <w:color w:val="auto"/>
              </w:rPr>
            </w:pPr>
          </w:p>
        </w:tc>
        <w:tc>
          <w:tcPr>
            <w:tcW w:w="86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For periods in which the Company incurred net losses applicable to common stockholders, common stock equivalents are excluded from the calculation of diluted net loss per share as their effect would be anti-dilutive, and accordingly, basic and diluted net loss per share are the same for such periods. Outstanding stock options with exercise prices greater than the average market price of common stock are excluded from the calculation of diluted net income (loss) per share as their effect would be anti-dilutive. The following potentially dilutive common stock equivalents outstanding at the end of the period were excluded from the computations of weighted-average diluted common shares for the periods indicated as their effects would be anti-dilutive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7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 outstanding</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Supplemental Disclosures</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9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(in thousands):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income taxes payable</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Accrued licensing costs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external general and administrative expenses</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Other liabilities of $1.8 million and $2.5 million reported as of March 31, 2019 and December 31, 2018, respectively, consist of accrued licensing costs payable in periods beyond 12 months from the reporting date.</w:t>
      </w:r>
    </w:p>
    <w:p>
      <w:pPr>
        <w:spacing w:after="0" w:line="3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financial statements and the notes thereto included elsewhere in this Quarterly Report on Form 10-Q and with our audited financial statements and the notes thereto included in our Annual Report on Form 10-K for the year ended December 31, 2018, which we filed with the SEC on February 27, 2019. In addition, you should read the “Risk Factors” and “Information Regarding Forward-Looking Statements” sections of this Quarterly Report on Form 10-Q and our Annual Report on Form 10-K for the year ended December 31, 2018 for a discussion of important factors that could cause actual results to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20" w:firstLine="518"/>
        <w:spacing w:after="0" w:line="261" w:lineRule="auto"/>
        <w:rPr>
          <w:sz w:val="20"/>
          <w:szCs w:val="20"/>
          <w:color w:val="auto"/>
        </w:rPr>
      </w:pPr>
      <w:r>
        <w:rPr>
          <w:rFonts w:ascii="Times New Roman" w:cs="Times New Roman" w:eastAsia="Times New Roman" w:hAnsi="Times New Roman"/>
          <w:sz w:val="18"/>
          <w:szCs w:val="18"/>
          <w:color w:val="auto"/>
        </w:rPr>
        <w:t>We are a leading clinical-stage biotechnology company seeking to improve lives through the curative potential of gene therapy. Our gene therapy product candidates are designed to deliver genes to cells to address genetic defects or to enable cells in the body to produce therapeutic proteins that are intended to impact disease. Through a single administration, our gene therapy product candidates are designed to provide long-lasting effects, potentially significantly altering the course of disease and delivering improved patient outcomes.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Product Candidates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developed an internal pipeline of product candidates across the therapeutic areas of retinal, metabolic and neurodegenerative diseases.</w:t>
      </w:r>
    </w:p>
    <w:p>
      <w:pPr>
        <w:spacing w:after="0" w:line="113" w:lineRule="exact"/>
        <w:rPr>
          <w:sz w:val="20"/>
          <w:szCs w:val="20"/>
          <w:color w:val="auto"/>
        </w:rPr>
      </w:pPr>
    </w:p>
    <w:p>
      <w:pPr>
        <w:ind w:left="1040" w:right="60" w:hanging="519"/>
        <w:spacing w:after="0" w:line="257"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RGX-314: </w:t>
      </w:r>
      <w:r>
        <w:rPr>
          <w:rFonts w:ascii="Times New Roman" w:cs="Times New Roman" w:eastAsia="Times New Roman" w:hAnsi="Times New Roman"/>
          <w:sz w:val="18"/>
          <w:szCs w:val="18"/>
          <w:color w:val="auto"/>
        </w:rPr>
        <w:t>We are developing RGX-314 for the treatment of wet age-related macular degeneration (wet AMD), a leading cause of blindness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Europe and Japan. We began enrollment in the Phase I/IIa clinical trial for RGX-314 for the treatment of wet AMD in May 2017, and as of April 18, 2019, we have completed dosing of 33 total subjects in five cohorts, including six subjects in each of the first three cohorts, 12 subjects in the fourth cohort and 3 subjects in the fifth cohort. We expect to initiate a Phase IIb trial in late 2019. Additionally, we expect to file an investigational new drug (IND) application with the U.S. Food and Drug Administration (the FDA) for a Phase II trial to evaluate RGX-314 for the treatment of diabetic retinopathy in the second half of 2019.</w:t>
      </w:r>
    </w:p>
    <w:p>
      <w:pPr>
        <w:spacing w:after="0" w:line="74" w:lineRule="exact"/>
        <w:rPr>
          <w:rFonts w:ascii="Times New Roman" w:cs="Times New Roman" w:eastAsia="Times New Roman" w:hAnsi="Times New Roman"/>
          <w:sz w:val="18"/>
          <w:szCs w:val="18"/>
          <w:color w:val="auto"/>
        </w:rPr>
      </w:pPr>
    </w:p>
    <w:p>
      <w:pPr>
        <w:ind w:left="1040" w:right="80" w:hanging="519"/>
        <w:spacing w:after="0" w:line="26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RGX-121: </w:t>
      </w:r>
      <w:r>
        <w:rPr>
          <w:rFonts w:ascii="Times New Roman" w:cs="Times New Roman" w:eastAsia="Times New Roman" w:hAnsi="Times New Roman"/>
          <w:sz w:val="18"/>
          <w:szCs w:val="18"/>
          <w:color w:val="auto"/>
        </w:rPr>
        <w:t>We are developing RGX-121 for the treatment of the neurological symptoms of Mucopolysaccharidosis Type II (MPS II), a severe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genetic lysosomal storage disease caused by deficiency of iduronate-2-sulfatase (IDS), an enzyme that is responsible for breakdown of cellular waste products. We have begun dosing subjects in the Phase I/II clinical trial for RGX-121 and we expect to continue enrollment and site activation in 2019.</w:t>
      </w:r>
    </w:p>
    <w:p>
      <w:pPr>
        <w:spacing w:after="0" w:line="68" w:lineRule="exact"/>
        <w:rPr>
          <w:rFonts w:ascii="Times New Roman" w:cs="Times New Roman" w:eastAsia="Times New Roman" w:hAnsi="Times New Roman"/>
          <w:sz w:val="18"/>
          <w:szCs w:val="18"/>
          <w:color w:val="auto"/>
        </w:rPr>
      </w:pPr>
    </w:p>
    <w:p>
      <w:pPr>
        <w:ind w:left="1040" w:right="280" w:hanging="519"/>
        <w:spacing w:after="0" w:line="268"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RGX-111: </w:t>
      </w:r>
      <w:r>
        <w:rPr>
          <w:rFonts w:ascii="Times New Roman" w:cs="Times New Roman" w:eastAsia="Times New Roman" w:hAnsi="Times New Roman"/>
          <w:sz w:val="18"/>
          <w:szCs w:val="18"/>
          <w:color w:val="auto"/>
        </w:rPr>
        <w:t>We are developing RGX-111 for the treatment of the neurological symptoms of Mucopolysaccharidosis Type I (MPS I), a severe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genetic lysosomal storage disease caused by deficiency of α-l-iduronidase (IDUA), an enzyme required for breakdown of cellular waste products. Recruitment and additional site activations are ongoing in the Phase I clinical trial for RGX-111.</w:t>
      </w:r>
    </w:p>
    <w:p>
      <w:pPr>
        <w:spacing w:after="0" w:line="62" w:lineRule="exact"/>
        <w:rPr>
          <w:rFonts w:ascii="Times New Roman" w:cs="Times New Roman" w:eastAsia="Times New Roman" w:hAnsi="Times New Roman"/>
          <w:sz w:val="18"/>
          <w:szCs w:val="18"/>
          <w:color w:val="auto"/>
        </w:rPr>
      </w:pPr>
    </w:p>
    <w:p>
      <w:pPr>
        <w:ind w:left="1040" w:right="120" w:hanging="519"/>
        <w:spacing w:after="0" w:line="257"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RGX-501: </w:t>
      </w:r>
      <w:r>
        <w:rPr>
          <w:rFonts w:ascii="Times New Roman" w:cs="Times New Roman" w:eastAsia="Times New Roman" w:hAnsi="Times New Roman"/>
          <w:sz w:val="18"/>
          <w:szCs w:val="18"/>
          <w:color w:val="auto"/>
        </w:rPr>
        <w:t>We are developing RGX-501 for the treatment of homozygous familial hypercholesterolemia (HoFH), a severe genetic disease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characterized by premature and aggressive plaque buildup, life threatening coronary artery disease and aortic valve disease predominantly due to abnormalities in the function or expression of the low-density lipoprotein receptor. Enrollment in the Phase I/II clinical trial for RGX-501 began in March 2017. We have completed dosing of the first cohort of three subjects and have dosed three subjects in the second cohort, for a total of six subjects. We have amended the clinical trial protocol to include steroid prophylaxis and screening has re-initiated in the Phase I/II clinical trial.</w:t>
      </w:r>
    </w:p>
    <w:p>
      <w:pPr>
        <w:spacing w:after="0" w:line="74" w:lineRule="exact"/>
        <w:rPr>
          <w:rFonts w:ascii="Times New Roman" w:cs="Times New Roman" w:eastAsia="Times New Roman" w:hAnsi="Times New Roman"/>
          <w:sz w:val="18"/>
          <w:szCs w:val="18"/>
          <w:color w:val="auto"/>
        </w:rPr>
      </w:pPr>
    </w:p>
    <w:p>
      <w:pPr>
        <w:ind w:left="1040" w:right="120" w:hanging="519"/>
        <w:spacing w:after="0" w:line="26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RGX-181: </w:t>
      </w:r>
      <w:r>
        <w:rPr>
          <w:rFonts w:ascii="Times New Roman" w:cs="Times New Roman" w:eastAsia="Times New Roman" w:hAnsi="Times New Roman"/>
          <w:sz w:val="18"/>
          <w:szCs w:val="18"/>
          <w:color w:val="auto"/>
        </w:rPr>
        <w:t>We are developing RGX-181 for the treatment of late-infantile neuronal ceroid lipofuscinosis type 2 (CLN2) disease, 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common forms of Batten disease, caused by mutations in the tripeptidyl peptidase 1 (TPP1) gene. We plan to submit an IND application, or foreign equivalent, for RGX-181 for the treatment of CLN2 to the FDA, or a foreign regulatory authority, by the end of 2019 to enable initiation of a first-in-human clinical trial.</w:t>
      </w:r>
    </w:p>
    <w:p>
      <w:pPr>
        <w:spacing w:after="0" w:line="18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addition to our lead product candidates described above, we have also funded, and plan to continue to fund, preclinical research on potential product candidate programs that may become part of our internal product development pipeline. We have partnered with a number of leading academic institutions and will continue to seek partnerships with innovative institutions to develop novel NAV gene therapy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RGX-314 Interim Data Update</w:t>
      </w:r>
    </w:p>
    <w:p>
      <w:pPr>
        <w:spacing w:after="0" w:line="121" w:lineRule="exact"/>
        <w:rPr>
          <w:sz w:val="20"/>
          <w:szCs w:val="20"/>
          <w:color w:val="auto"/>
        </w:rPr>
      </w:pPr>
    </w:p>
    <w:p>
      <w:pPr>
        <w:ind w:right="220" w:firstLine="518"/>
        <w:spacing w:after="0" w:line="255" w:lineRule="auto"/>
        <w:rPr>
          <w:sz w:val="20"/>
          <w:szCs w:val="20"/>
          <w:color w:val="auto"/>
        </w:rPr>
      </w:pPr>
      <w:r>
        <w:rPr>
          <w:rFonts w:ascii="Times New Roman" w:cs="Times New Roman" w:eastAsia="Times New Roman" w:hAnsi="Times New Roman"/>
          <w:sz w:val="18"/>
          <w:szCs w:val="18"/>
          <w:color w:val="auto"/>
        </w:rPr>
        <w:t>In our Phase I/IIa trial for RGX-314, as of April 18, 2019, 33 subjects with wet AMD have received a single administration of RGX-314 across five dose cohorts (six subjects in each of the first three cohorts, 12 subjects in the fourth cohort and three subjects currently in the fifth cohort). To qualify for inclusion in the trial, participants were required to have a history of frequent anti-vascular endothelial growth factor (VEGF) treatments (including at least four anti-VEGF injections in the eight months preceding trial enrollment) and a documented history of response to anti-VEGF therapy. The trial design included doses of 3 x 10^9 (Cohort 1), 1 x 10^10 (Cohort 2), 6 x 10^10 (Cohort 3), 1.6 x 10^11 (Cohort 4) and 2.5 x 10^11 (Cohort 5) genome copies (GC)/eye. Subjects have been assessed every four weeks to the six-month primary endpoint, with long-term follow-up continuing for two years. Below is a summary of the preliminary results of our Phase I/IIa trial as of April 18, 2019:</w:t>
      </w:r>
    </w:p>
    <w:p>
      <w:pPr>
        <w:spacing w:after="0" w:line="81"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RGX-314 continues to be well-tolerated across all cohorts, with no drug-related serious adverse events (SAEs) reported.</w:t>
      </w:r>
    </w:p>
    <w:p>
      <w:pPr>
        <w:spacing w:after="0" w:line="117" w:lineRule="exact"/>
        <w:rPr>
          <w:rFonts w:ascii="Times New Roman" w:cs="Times New Roman" w:eastAsia="Times New Roman" w:hAnsi="Times New Roman"/>
          <w:sz w:val="18"/>
          <w:szCs w:val="18"/>
          <w:color w:val="auto"/>
        </w:rPr>
      </w:pPr>
    </w:p>
    <w:p>
      <w:pPr>
        <w:ind w:left="1040" w:right="96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and durable RGX-314 intraocular protein expression was detected at one year in all subjects in Cohort 3 as measured by electrochemiluminescence immunoassay (ECL) after administration of RGX-314.</w:t>
      </w:r>
    </w:p>
    <w:p>
      <w:pPr>
        <w:spacing w:after="0" w:line="53" w:lineRule="exact"/>
        <w:rPr>
          <w:rFonts w:ascii="Times New Roman" w:cs="Times New Roman" w:eastAsia="Times New Roman" w:hAnsi="Times New Roman"/>
          <w:sz w:val="18"/>
          <w:szCs w:val="18"/>
          <w:color w:val="auto"/>
        </w:rPr>
      </w:pPr>
    </w:p>
    <w:p>
      <w:pPr>
        <w:ind w:left="1040" w:right="120" w:hanging="519"/>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subjects (3/6) in Cohort 3 continue to remain injection-free through one year with durable protein and clinical effect observed on best corrected visual acuity (BCVA) and central retinal thickness (CRT). Mean BCVA improved by +10 letters and mean CRT decreased by 59 μm from baseline in these subjects at one year. Evidence of durable protein expression was also observed (see Table 1).</w:t>
      </w:r>
    </w:p>
    <w:p>
      <w:pPr>
        <w:spacing w:after="0" w:line="68" w:lineRule="exact"/>
        <w:rPr>
          <w:rFonts w:ascii="Times New Roman" w:cs="Times New Roman" w:eastAsia="Times New Roman" w:hAnsi="Times New Roman"/>
          <w:sz w:val="18"/>
          <w:szCs w:val="18"/>
          <w:color w:val="auto"/>
        </w:rPr>
      </w:pPr>
    </w:p>
    <w:p>
      <w:pPr>
        <w:ind w:left="1040" w:right="20" w:hanging="519"/>
        <w:spacing w:after="0" w:line="313" w:lineRule="auto"/>
        <w:tabs>
          <w:tab w:leader="none" w:pos="10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subjects in Cohort 3 show a mean BCVA improvement of +5 letters and mean CRT decrease by 39 μm from baseline at one year. Cohort 3 subjects received a low number of anti-VEGF injections following the administration of RGX-314, with a mean of 2.3 injections over one year.</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404040"/>
        </w:rPr>
        <w:t>Table 1: RGX-314 Protein Expression Levels (ng/ml) of Cohort 3 Subjects with No Additional Anti-VEGF Injections through One Year (N=3)</w:t>
      </w:r>
    </w:p>
    <w:p>
      <w:pPr>
        <w:spacing w:after="0" w:line="228" w:lineRule="exact"/>
        <w:rPr>
          <w:sz w:val="20"/>
          <w:szCs w:val="20"/>
          <w:color w:val="auto"/>
        </w:rPr>
      </w:pPr>
    </w:p>
    <w:tbl>
      <w:tblPr>
        <w:tblLayout w:type="fixed"/>
        <w:tblInd w:w="1850" w:type="dxa"/>
        <w:tblCellMar>
          <w:top w:w="0" w:type="dxa"/>
          <w:left w:w="0" w:type="dxa"/>
          <w:bottom w:w="0" w:type="dxa"/>
          <w:right w:w="0" w:type="dxa"/>
        </w:tblCellMar>
      </w:tblPr>
      <w:tr>
        <w:trPr>
          <w:trHeight w:val="230"/>
        </w:trPr>
        <w:tc>
          <w:tcPr>
            <w:tcW w:w="20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Visit</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 month</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 months</w:t>
            </w:r>
          </w:p>
        </w:tc>
        <w:tc>
          <w:tcPr>
            <w:tcW w:w="2020" w:type="dxa"/>
            <w:vAlign w:val="bottom"/>
            <w:tcBorders>
              <w:top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 year</w:t>
            </w:r>
          </w:p>
        </w:tc>
        <w:tc>
          <w:tcPr>
            <w:tcW w:w="0" w:type="dxa"/>
            <w:vAlign w:val="bottom"/>
          </w:tcPr>
          <w:p>
            <w:pPr>
              <w:spacing w:after="0"/>
              <w:rPr>
                <w:sz w:val="1"/>
                <w:szCs w:val="1"/>
                <w:color w:val="auto"/>
              </w:rPr>
            </w:pPr>
          </w:p>
        </w:tc>
      </w:tr>
      <w:tr>
        <w:trPr>
          <w:trHeight w:val="191"/>
        </w:trPr>
        <w:tc>
          <w:tcPr>
            <w:tcW w:w="202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Mean Protein Level</w:t>
            </w:r>
          </w:p>
        </w:tc>
        <w:tc>
          <w:tcPr>
            <w:tcW w:w="2020" w:type="dxa"/>
            <w:vAlign w:val="bottom"/>
            <w:tcBorders>
              <w:right w:val="single" w:sz="8" w:color="auto"/>
            </w:tcBorders>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236.2</w:t>
            </w:r>
          </w:p>
        </w:tc>
        <w:tc>
          <w:tcPr>
            <w:tcW w:w="2000" w:type="dxa"/>
            <w:vAlign w:val="bottom"/>
            <w:tcBorders>
              <w:right w:val="single" w:sz="8" w:color="auto"/>
            </w:tcBorders>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274.9</w:t>
            </w:r>
          </w:p>
        </w:tc>
        <w:tc>
          <w:tcPr>
            <w:tcW w:w="2020" w:type="dxa"/>
            <w:vAlign w:val="bottom"/>
            <w:tcBorders>
              <w:right w:val="single" w:sz="8" w:color="auto"/>
            </w:tcBorders>
            <w:vMerge w:val="restart"/>
          </w:tcPr>
          <w:p>
            <w:pPr>
              <w:ind w:left="800"/>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(ng/ml)</w:t>
            </w:r>
          </w:p>
        </w:tc>
        <w:tc>
          <w:tcPr>
            <w:tcW w:w="202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Our NAV Technology Platform</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to our internal product development efforts, we also selectively sublicense our proprietary adeno-associated virus (AAV) gene therapy delivery platform (NAV Technology Platform) to other leading biotechnology companies, which we refer to as NAV Technology Licensees. As of March 31, 2019, our NAV Technology Platform was being applied in the development of more than 20 partnered product candidates by our NAV Technology Licensees. Sublicensing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To date, we have primarily generated revenues through the licensing of our NAV Technology Platform to NAV Technology Licensees. We have not generated any revenues from the sale of approved products. If we fail to complete the development of our product candidates in a timely manner or fail to obtain their regulatory approval and adequate labeling, our ability to generate future revenues will be materially compromised.</w:t>
      </w:r>
    </w:p>
    <w:p>
      <w:pPr>
        <w:spacing w:after="0" w:line="17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license our NAV Technology Platform to other biotechnology and pharmaceutical companies. As of March 31, 2019, our NAV Technology Platform was being applied in the development of more than 20 partnered product candidates by 11 NAV Technology Licensees. The terms of the licenses vary, and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using the NAV Technology Platform. License agreements generally have a term at least equal to the life of the underlying patents, but are terminable at the option of the licensee. Consideration from licensees under our license agreements may include: (i) up-front and annual fees, (ii) option fees to acquire additional licenses, (iii) milestone payments based on the achievement of certain development and sales-based milestones by licensees, (iv) sublicense fees and (v) royalties on sales of licensed products. To date we have not recognized any revenue from the achievement of sales-based milestones or royalties on sales of licensed products.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Future license revenue is highly dependent on the successful development and commercialization of licensed products by our licensees, which is uncertain, and revenue may fluctuate significantly from period to period. Additionally, we may never receive consideration in our license agreements that is contemplated on option fees, development and sales-based milestone payments, royalties on sales of licensed products or sublicense fees, given the contingent nature of these payments. Our license revenue is concentrated among a low number of licensees and licenses are terminable at the option of the licensee. The termination of our licenses by licensees may materially impact the amount of license revenue we recognize in future periods.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Our operating expenses consist primarily of costs of revenue, research and development and general and administrative expenses. Personnel costs including salaries, benefits, bonuses and stock-based compensation expense, comprise a significant component of research and development and general and administrative expenses. We allocate indirect expenses associated with our facilities, information technology costs, depreciation and other overhead costs between research and development and general and administrative categories based on employee headcount and the nature of work performed by each employee.</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Costs of Revenue</w:t>
      </w:r>
    </w:p>
    <w:p>
      <w:pPr>
        <w:spacing w:after="0" w:line="11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Costs of revenue consist primarily of sublicense fees to licensors as a result of revenues generated from the licensing of our NAV Technology Platform. Sublicense fees are based on a percentage of license fees we receive from licensees as specified in the agreements with our licensors. We recognize sublicense fees in the period that the underlying license revenue is recognized. Future costs of revenue are uncertain due to the nature of our license agreements and significant fluctuations in costs of revenue may occur from period to period.</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 primarily consists of:</w:t>
      </w:r>
    </w:p>
    <w:p>
      <w:pPr>
        <w:spacing w:after="0" w:line="117" w:lineRule="exact"/>
        <w:rPr>
          <w:sz w:val="20"/>
          <w:szCs w:val="20"/>
          <w:color w:val="auto"/>
        </w:rPr>
      </w:pPr>
    </w:p>
    <w:p>
      <w:pPr>
        <w:ind w:left="1040" w:right="18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personnel-related costs, including benefits, stock-based compensation and travel, for our scientific personnel performing research and development activities;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executing preclinical studies and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acquiring, developing and manufacturing materials for preclinical studies and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and other third-parties who support our product candidate development;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 seeking regulatory approval of our product candidates;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 depreciation expense and other overhead.</w:t>
      </w:r>
    </w:p>
    <w:p>
      <w:pPr>
        <w:spacing w:after="0" w:line="225"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Up-front fees incurred in obtaining technology licenses for research and development activities are expensed as incurred if the technology licensed has no alternative future use.</w:t>
      </w:r>
    </w:p>
    <w:p>
      <w:pPr>
        <w:spacing w:after="0" w:line="162"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We plan to increase our research and development expenses for the foreseeable future as we continue development of our product candidates. Our current and planned research and development activities include the following:</w:t>
      </w:r>
    </w:p>
    <w:p>
      <w:pPr>
        <w:spacing w:after="0" w:line="54" w:lineRule="exact"/>
        <w:rPr>
          <w:sz w:val="20"/>
          <w:szCs w:val="20"/>
          <w:color w:val="auto"/>
        </w:rPr>
      </w:pPr>
    </w:p>
    <w:p>
      <w:pPr>
        <w:ind w:left="1040" w:right="80" w:hanging="519"/>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I/IIa clinical trial and a planned Phase IIb clinical trial to evaluate the safety and efficacy of our RGX-314 program for the treatment of wet AMD, and a planned Phase II clinical trial to evaluate the safety and efficacy of our RGX-314 program for the treatment of diabetic retinopathy;</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I/II clinical trial to evaluate the safety and efficacy of our RGX-121 program for the treatment of MPS II;</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I clinical trial to evaluate the safety and efficacy of our RGX-111 program for the treatment of MPS I;</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I/II clinical trial to evaluate the safety and efficacy of our RGX-501 program for the treatment of HoFH;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research and development and a planned clinical trial for our RGX-181 program for the treatment of CLN2;</w:t>
      </w:r>
    </w:p>
    <w:p>
      <w:pPr>
        <w:spacing w:after="0" w:line="117" w:lineRule="exact"/>
        <w:rPr>
          <w:rFonts w:ascii="Times New Roman" w:cs="Times New Roman" w:eastAsia="Times New Roman" w:hAnsi="Times New Roman"/>
          <w:sz w:val="18"/>
          <w:szCs w:val="18"/>
          <w:color w:val="auto"/>
        </w:rPr>
      </w:pPr>
    </w:p>
    <w:p>
      <w:pPr>
        <w:ind w:left="1040" w:right="136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research and development for additional product candidates addressing other diseases in the retinal, metabolic and neurodegenerative therapeutic areas;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advanced manufacturing analytics and process development activities;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acquisition and manufacture of clinical trial materials in support of our anticipated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months ended March 31, 2019 and 2018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44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1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RGX-314</w:t>
            </w:r>
          </w:p>
        </w:tc>
        <w:tc>
          <w:tcPr>
            <w:tcW w:w="2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00" w:type="dxa"/>
            <w:vAlign w:val="bottom"/>
          </w:tcPr>
          <w:p>
            <w:pPr>
              <w:spacing w:after="0"/>
              <w:rPr>
                <w:sz w:val="19"/>
                <w:szCs w:val="19"/>
                <w:color w:val="auto"/>
              </w:rPr>
            </w:pP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RGX-121</w:t>
            </w:r>
          </w:p>
        </w:tc>
        <w:tc>
          <w:tcPr>
            <w:tcW w:w="1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RGX-111</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RGX-501</w:t>
            </w:r>
          </w:p>
        </w:tc>
        <w:tc>
          <w:tcPr>
            <w:tcW w:w="1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RGX-181</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direct expenses</w:t>
            </w:r>
          </w:p>
        </w:tc>
        <w:tc>
          <w:tcPr>
            <w:tcW w:w="18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Unallocated external expenses</w:t>
            </w:r>
          </w:p>
        </w:tc>
        <w:tc>
          <w:tcPr>
            <w:tcW w:w="1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Personnel-related</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Facilities and depreciation expense</w:t>
            </w:r>
          </w:p>
        </w:tc>
        <w:tc>
          <w:tcPr>
            <w:tcW w:w="1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 unallocated</w:t>
            </w:r>
          </w:p>
        </w:tc>
        <w:tc>
          <w:tcPr>
            <w:tcW w:w="18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unallocated expenses</w:t>
            </w:r>
          </w:p>
        </w:tc>
        <w:tc>
          <w:tcPr>
            <w:tcW w:w="1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8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Expenses incurred in the development of RGX-181 were included in unallocated external expenses through the second quarter of 2018. Unallocated external expenses include direct costs not identifiable with a specific lead product candidate, including costs associated with our research and development platform, process development, manufacturing analytics and preclinical research and development for prospective product candidates and new technologies. We typically utilize our employee and infrastructure resources across our development programs. We do not allocate personnel and other internal costs, such as facilities and other overhead costs, to specific product candidates or development programs.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consists primarily of salaries and personnel-related costs, including employee travel, benefits and stock-based compensation, for employees performing functions other than research and development. This includes certain personnel in executive, commercial, corporate development, finance, legal, human resources, information technology and administrative support functions. Other general and administrative expenses include facility-related and overhead costs not otherwise allocated to research and development expense, professional fees for accounting, legal and advisory services, expenses associated with obtaining and maintaining patents, insurance costs, costs of our information systems and other commercial and general corporate activities. We expect that our general and administrative expense will continue to increase as we continue to develop, and potentially commercialize, our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from Licensing</w:t>
      </w:r>
    </w:p>
    <w:p>
      <w:pPr>
        <w:spacing w:after="0" w:line="119"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In accordance with our revenue recognition policy, interest income from licensing consists of imputed interest recognized from significant financing components identified in our license agreements with NAV Technology Licensees.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19" w:lineRule="exact"/>
        <w:rPr>
          <w:sz w:val="20"/>
          <w:szCs w:val="20"/>
          <w:color w:val="auto"/>
        </w:rPr>
      </w:pPr>
    </w:p>
    <w:p>
      <w:pPr>
        <w:ind w:right="640" w:firstLine="518"/>
        <w:spacing w:after="0" w:line="266" w:lineRule="auto"/>
        <w:rPr>
          <w:sz w:val="20"/>
          <w:szCs w:val="20"/>
          <w:color w:val="auto"/>
        </w:rPr>
      </w:pPr>
      <w:r>
        <w:rPr>
          <w:rFonts w:ascii="Times New Roman" w:cs="Times New Roman" w:eastAsia="Times New Roman" w:hAnsi="Times New Roman"/>
          <w:sz w:val="18"/>
          <w:szCs w:val="18"/>
          <w:color w:val="auto"/>
        </w:rPr>
        <w:t>Investment income consists of interest income earned and gains and losses realized from our cash equivalents and marketable securities. Cash equivalents are comprised of money market mutual funds and highly liquid debt securities with original maturities of 90 days or less at acquisition. Marketable securities are comprised of fixed income debt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financial statements, which we have prepared in accordance with accounting principles generally accepted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assumptions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ectPr>
          <w:pgSz w:w="11900" w:h="16838" w:orient="portrait"/>
          <w:cols w:equalWidth="0" w:num="1">
            <w:col w:w="11380"/>
          </w:cols>
          <w:pgMar w:left="240" w:top="121" w:right="27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and recently announced accounting pronouncements, including the expected impact of such pronouncements, are fully described in Note 2 to the accompanying unaudited consolidated financial statements and in Note 2 to our audited consolidated financial statements which are included in our Annual Report on Form 10-K for the year ended December 31, 2018. There have been no significant changes in our critical accounting policies since December 31, 2018.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See Note 2 “Recent Accounting Pronouncements” in the notes to the accompanying unaudited consolidated financial statements for a full description of recently announced accounting pronouncements and the expected impact to our financial statements.</w:t>
      </w:r>
    </w:p>
    <w:p>
      <w:pPr>
        <w:spacing w:after="0" w:line="160" w:lineRule="exact"/>
        <w:rPr>
          <w:sz w:val="20"/>
          <w:szCs w:val="20"/>
          <w:color w:val="auto"/>
        </w:rPr>
      </w:pPr>
    </w:p>
    <w:p>
      <w:pPr>
        <w:ind w:right="100" w:firstLine="51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supersedes the lease accounting requirements in Accounting Standards Codification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840). Effective January 1, 2019, we adopted Topic 842 using the modified retrospective transition method. Under this method, we applied Topic 842 to all leases in effect as of, or entered into after, January 1, 2019 and recorded the cumulative impact of the adoption as an adjustment to our accumulated deficit on January 1, 2019. Our consolidated financial statements for periods ending after January 1, 2019 are presented in accordance with the requirements of Topic 842, while comparative prior period amounts have not been adjusted and continue to be reported in accordance with Topic 840.</w:t>
      </w:r>
    </w:p>
    <w:p>
      <w:pPr>
        <w:spacing w:after="0" w:line="185"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Upon the adoption of Topic 842, we recorded operating lease right-of-use assets of $7.4 million and operating lease liabilities of $8.4 million for our leases which were in effect and had commenced prior to January 1, 2019 and had original lease terms of more than 12 months. Additionally, upon the adoption of Topic 842, we derecognized $5.9 million of property and equipment and $5.9 million of financing lease obligations related to construction-in-progress at 9800 Medical Center Drive, as we do not control the building during the construction period under the requirements of Topic 842. The cumulative impact of the adoption of Topic 842 resulted in an increase in accumulated deficit of less than $0.1 million on January 1, 2019. The adoption of Topic 842 did not have a material impact on our results of operations for the three months ended March 31, 2019, nor do we believe it will have a material impact on future results of operations based on our current leasing arrangements.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 revenue</w:t>
            </w:r>
          </w:p>
        </w:tc>
        <w:tc>
          <w:tcPr>
            <w:tcW w:w="10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132,391</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(131,507)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132,391</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(131,507)</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Costs of revenues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Licensing costs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30,366</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102,025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(137,931)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from licensing</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Investment income</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other income</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104,239</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(136,467)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2019 and 2018</w:t>
      </w:r>
    </w:p>
    <w:p>
      <w:pPr>
        <w:spacing w:after="0" w:line="119"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License Revenue. </w:t>
      </w:r>
      <w:r>
        <w:rPr>
          <w:rFonts w:ascii="Times New Roman" w:cs="Times New Roman" w:eastAsia="Times New Roman" w:hAnsi="Times New Roman"/>
          <w:sz w:val="18"/>
          <w:szCs w:val="18"/>
          <w:color w:val="auto"/>
        </w:rPr>
        <w:t>License revenue decreased by $131.5 million, from $132.4 million for the three months ended March 31, 2018 to $0.9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2019. The decrease was primarily attributable to $132.1 million of non-recurring revenue that we recognized during the three months ended March 31, 2018 under the January 2018 amendment to our license agreement with AveXis, Inc. (AveXis) for the development and commercialization of treatments for spinal muscular atrophy (SMA). The decrease in license revenue during the three months ended March 31, 2019 also resulted in a $2.4 million decrease in licensing costs incurred during the period related to the sublicense fees that we are obligated to pay to our licensors.</w:t>
      </w:r>
    </w:p>
    <w:p>
      <w:pPr>
        <w:spacing w:after="0" w:line="182"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Novartis AG (Novartis), which acquired AveXis in May 2018, has announced that it expects to launch Zolgensma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2019, pending approval by regulatory authorities. If approved, Zolgensma will be the first approved product under our amended license agreement with AveXis for the development and commercialization of treatments for SMA. Upon its approval and launch, we will begin recognizing royalty revenue on net sales of Zolgensma.</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expenses increased by $5.7 million, from $19.6 million for the three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2018 to $25.2 million for the three months ended March 31, 2019. The increase was primarily attributable to the following:</w:t>
      </w:r>
    </w:p>
    <w:p>
      <w:pPr>
        <w:spacing w:after="0" w:line="99" w:lineRule="exact"/>
        <w:rPr>
          <w:sz w:val="20"/>
          <w:szCs w:val="20"/>
          <w:color w:val="auto"/>
        </w:rPr>
      </w:pPr>
    </w:p>
    <w:p>
      <w:pPr>
        <w:ind w:left="1040" w:right="46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$3.2 million for personnel costs as a result of increased headcount of research and development personnel, including a $0.8 million increase in stock-based compensation expense;</w:t>
      </w:r>
    </w:p>
    <w:p>
      <w:pPr>
        <w:spacing w:after="0" w:line="53"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for laboratory costs and facilities used by research and development personnel, including a $0.8 million increase in depreciation expense allocated to research and development functions; and</w:t>
      </w:r>
    </w:p>
    <w:p>
      <w:pPr>
        <w:spacing w:after="0" w:line="53"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for external costs associated with clinical trial activities for our lead product candidates, process development and manufacturing-related services and preclinical research and development.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expenses increased by $3.2 million, from $8.4 million for the three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2018 to $11.6 million for the three months ended March 31, 2019. The increase was primarily attributable to the following:</w:t>
      </w:r>
    </w:p>
    <w:p>
      <w:pPr>
        <w:spacing w:after="0" w:line="99" w:lineRule="exact"/>
        <w:rPr>
          <w:sz w:val="20"/>
          <w:szCs w:val="20"/>
          <w:color w:val="auto"/>
        </w:rPr>
      </w:pPr>
    </w:p>
    <w:p>
      <w:pPr>
        <w:ind w:left="1040" w:right="44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$2.0 million for personnel costs as a result of increased headcount of general and administrative personnel, including a $1.6 million increase in stock-based compensation expense;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for professional services, including commercial, legal, accounting and other advisory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As of March 31, 2019, we had cash, cash equivalents and marketable securities of $444.3 million, which were primarily derived from the sale of common stock. Additionally, we have supplemented our cash flows with fees received from granting commercial licenses to our NAV Technology Platform to other biotechnology and pharmaceutical companies. We expect that our cash, cash equivalents and marketable securities as of March 31, 2019, will enable us to fund our operating expenses and capital expenditure requirements for at least the next 12 months from the date of this report, based on our current business plan.</w:t>
      </w:r>
    </w:p>
    <w:p>
      <w:pPr>
        <w:spacing w:after="0" w:line="18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January 2018, we amended our March 2014 license agreement with AveXis for the development and commercialization of treatments for SMA. Pursuant to the amended license agreement, AveXis is obligated to pay us $80.0 million upon the achievement of a sales-based milestone, in addition to other regulatory milestone payments and royalties on net sales of licensed products. In May 2018, AveXis was acquired by Novartis. Novartis has announced that it expects to launch Zolgensma in 2019, pending approval by regulatory authorities. If approved, Zolgensma will be the first approved product under the amended license agreement. Upon its approval and launch, we will begin recognizing royalty revenue on net sales of Zolgensma.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have incurred cumulative losses since our inception and had an accumulated deficit of $115.3 million as of March 31, 2019. Our transition to recurring profitability is dependent upon the successful development, approval and commercialization of our product candidates and achieving a level of revenues adequate to support our cost structure. We do not expect to achieve such revenues, and expect to continue to incur losses, for at least the next several years. We expect that our research and development and general and administrative expenses will continue to increase for the foreseeable future as we continue the development of, and seek regulatory approval for, our product candidates. Subject to obtaining regulatory approval for our product candidates, we expect to incur significant commercialization expenses for product sales, marketing, manufacturing and distribution. Additionally, we expect our capital expenditures will increase significantly in the future for costs associated with building out additional office, laboratory and manufacturing capacity to further support the development of our product candidates and potential commercialization efforts.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3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3"/>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(29,297)</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(37,086)</w:t>
            </w: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2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80" w:type="dxa"/>
            <w:vAlign w:val="bottom"/>
            <w:shd w:val="clear" w:color="auto" w:fill="CFF0FC"/>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52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increase (decrease) in cash and cash equivalents and</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(19,709)</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right="220" w:firstLine="518"/>
        <w:spacing w:after="0" w:line="258" w:lineRule="auto"/>
        <w:rPr>
          <w:sz w:val="20"/>
          <w:szCs w:val="20"/>
          <w:color w:val="auto"/>
        </w:rPr>
      </w:pPr>
      <w:r>
        <w:rPr>
          <w:rFonts w:ascii="Times New Roman" w:cs="Times New Roman" w:eastAsia="Times New Roman" w:hAnsi="Times New Roman"/>
          <w:sz w:val="18"/>
          <w:szCs w:val="18"/>
          <w:color w:val="auto"/>
        </w:rPr>
        <w:t>Our net cash used in operating activities for the three months ended March 31, 2019 increased by $87.4 million from the three months ended March 31, 2018. The change was primarily attributable to $80.0 million in license payments we received during the three months ended March 31, 2018 related to the amendment of our March 2014 license agreement with AveXis, as well as an increase in operating expenses in the three months ended March 31, 2019. The increase in operating expenses was primarily attributable to increased employee headcount and research and development expenses as we continue the development and advancement of our lead product candidates.</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2019, our net cash used in operating activities of $29.3 million consisted of a net loss of $32.2 million and changes in working capital of $3.7 million, offset by $6.7 million in adjustments for non-cash items. The change in working capital was primarily attributable to a decrease in accrued expenses and other current liabilities of $2.9 million, an increase in prepaid expenses and other current assets of $1.1 million and a decrease in other liabilities of $0.6 million. Adjustments for non-cash items primarily consisted of stock-based compensation expenses of $5.7 million and depreciation and amortization expense of $1.6 million and were partially offset by imputed interest earned from our license agreements of $0.6 million and net accretion of discounts on marketable debt securities of $0.4 million. The decrease in accrued expenses and other current liabilities was largely driven by decreases in accrued personnel costs and accrued licensing costs as of March 31, 2019 as compared to December 31, 2018.</w:t>
      </w:r>
    </w:p>
    <w:p>
      <w:pPr>
        <w:spacing w:after="0" w:line="189"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color w:val="auto"/>
        </w:rPr>
        <w:t>For the three months ended March 31, 2018, our net cash provided by operating activities of $58.1 million consisted of net income of $104.2 million and $3.2 million in adjustments for non-cash items, offset by changes in working capital of $49.3 million. Adjustments for non-cash items primarily consisted of stock-based compensation expenses of $3.3 million, depreciation and amortization expense of $0.8 million and net amortization of premiums</w:t>
      </w:r>
    </w:p>
    <w:p>
      <w:pPr>
        <w:spacing w:after="0" w:line="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marketable debt securities of $0.4 million and were partially offset by imputed interest earned from our license agreements of $1.4 million. The change in working capital was primarily attributable to an increase in accounts receivable of $51.4 million, which was largely driven by accounts receivable recorded in connection with the amendment of the March 2014 license agreement with AveXis in January 2018.</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For three months ended March 31, 2019, net cash provided by investing activities consisted of $87.2 million in sales and maturities of marketable securities, offset by $79.2 million to purchase marketable securities and $2.5 million to purchase property and equipment.</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2018, net cash used in investing activities consisted of $54.3 million to purchase marketable securities and $2.3 million to purchase property and equipment, offset by $19.5 million in sales and maturities of marketable securities.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net cash provided by financing activities consisted of $4.1 million in proceeds received from the exercise of stock options and issuance of common stock under our employee stock purchase plan.</w:t>
      </w:r>
    </w:p>
    <w:p>
      <w:pPr>
        <w:spacing w:after="0" w:line="162"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2018, net cash provided by financing activities consisted of $4.2 million in proceeds received from the exercise of stock options and issuance of common stock under our employee stock purchase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To date, we have primarily generated revenue through license agreements with strategic partners for research, development and commercialization of product candidates using our proprietary technology. We do not expect to generate recurring revenue sufficient to offset our cost structure unless and until we obtain regulatory approval for and commercialize our product candidates. We expect our expenses to increase in connection with our ongoing development activities, particularly as we continue to expand the research, development and clinical trials of, and seek regulatory approval for, our product candidates. In addition, subject to obtaining regulatory approval for our product candidates, we expect to incur significant commercialization expenses for product sales, marketing, manufacturing and distribution. Additionally, we expect our capital expenditures will increase significantly in the future for costs associated with building out additional office, laboratory and manufacturing capacity to further support the development of our product candidates and potential commercialization efforts. We anticipate that we will need substantial additional funding in connection with our continuing operations.</w:t>
      </w:r>
    </w:p>
    <w:p>
      <w:pPr>
        <w:spacing w:after="0" w:line="18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expect that our cash, cash equivalents and marketable securities as of March 31, 2019 will enable us to fund our operating expenses and capital expenditure requirements for at least the next 12 months from the date of this report, based on our current business plan. We intend to devote the majority of our current capital to clinical development and seeking regulatory approval of our product candidates. Because of the numerous risks and uncertainties associated with the development and commercialization of gene therapy product candidates, we are unable to estimate the amount of increased capital outlays and operating expenditures necessary to complete the development of our product candidates. Additionally, our estimates are based on assumptions that may prove to be wrong, and we may use our available capital resources sooner than we currently expect.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enrollment, commencement and completion of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for our product candidates and any subsequent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expansion of the licensing of our NAV Technology Platform;</w:t>
      </w:r>
    </w:p>
    <w:p>
      <w:pPr>
        <w:spacing w:after="0" w:line="117" w:lineRule="exact"/>
        <w:rPr>
          <w:rFonts w:ascii="Times New Roman" w:cs="Times New Roman" w:eastAsia="Times New Roman" w:hAnsi="Times New Roman"/>
          <w:sz w:val="18"/>
          <w:szCs w:val="18"/>
          <w:color w:val="auto"/>
        </w:rPr>
      </w:pPr>
    </w:p>
    <w:p>
      <w:pPr>
        <w:ind w:left="1040" w:right="80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preclinical development and clinical trials for our product candidates;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building out additional laboratory and manufacturing capacity, if 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product sales, medical affairs, marketing, manufacturing and distribution activities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 of our products, should any of our product candidates receive marketing approval;</w:t>
      </w:r>
    </w:p>
    <w:p>
      <w:pPr>
        <w:spacing w:after="0" w:line="117"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licensing agreements or collaborations remaining in effect;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licensing agreements or collaborations on favorable terms, if at all;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Our product revenues, if any, and any commercial milestones or royalty payments under our licensing agreements, will be derived from or based on sales of products that may not be commercially available for many years, if at all. In addition, revenue from our NAV Technology Platform sublicensing is dependent in part on the clinical and commercial success of our licensing partners. Accordingly, we will need to continue to rely on additional financing to achieve our business objectives.</w:t>
      </w:r>
    </w:p>
    <w:p>
      <w:pPr>
        <w:spacing w:after="0" w:line="189" w:lineRule="exact"/>
        <w:rPr>
          <w:sz w:val="20"/>
          <w:szCs w:val="20"/>
          <w:color w:val="auto"/>
        </w:rPr>
      </w:pPr>
    </w:p>
    <w:p>
      <w:pPr>
        <w:jc w:val="both"/>
        <w:ind w:right="340" w:firstLine="518"/>
        <w:spacing w:after="0" w:line="261" w:lineRule="auto"/>
        <w:rPr>
          <w:sz w:val="20"/>
          <w:szCs w:val="20"/>
          <w:color w:val="auto"/>
        </w:rPr>
      </w:pPr>
      <w:r>
        <w:rPr>
          <w:rFonts w:ascii="Times New Roman" w:cs="Times New Roman" w:eastAsia="Times New Roman" w:hAnsi="Times New Roman"/>
          <w:sz w:val="18"/>
          <w:szCs w:val="18"/>
          <w:color w:val="auto"/>
        </w:rPr>
        <w:t>The issuance of additional securities, whether equity or debt, by us, or the possibility of such issuance, may cause the market price of our common stock to decline. Adequate additional financing may not be available to us on acceptable terms, or at all. We also could be required to seek funds through arrangements with partners or otherwise that may require us to relinquish rights to our intellectual property, our product candidates or otherwise agree to terms unfavorable to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contractual obligations, commitments and contingencies as of March 31, 2019 from the information provided in Item 7, “Management’s Discussion and Analysis of Financial Condition and Results of Operations,” included in our Annual Report on Form 10-K for the year ended December 31,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did not have any off-balance sheet arrangements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For information regarding market risk, refer to Item 7A, “Qualitative and Quantitative Disclosures About Market Risk,” included in our most recent Annual Report on Form 10-K for the year ended December 31, 2018. There have been no material changes to our exposure to market risk during the three months ended March 31,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March 31,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March 31, 2019, our disclosure controls and procedures were effective at a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2019, we implemented changes to our internal control over financial reporting (as defined in Rules 13a-15(f) and 15d-15(f) under the Exchange Act) to support the lease accounting and disclosure requirements of Topic 842, which we adopted on January 1, 2019. There were no other changes in our internal control over financial reporting that occurred during the quarter ended March 31, 2019 that have materially affected,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jc w:val="both"/>
        <w:ind w:right="140" w:firstLine="518"/>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From time to time, we are party to various lawsuits, claims or other legal proceedings that arise in the normal course of our business. We do not believe that we are currently party to any pending legal actions that could reasonably be expected to have a material adverse effect on our business, financial condition,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Our material risk factors are disclosed in Item 1A of our Annual Report on Form 10-K for the year ended December 31, 2018. There have been no material changes from the risk factors previously disclosed in our Annual Report on Form 10-K for the year ended December 31,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04"/>
        </w:trPr>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4240" w:type="dxa"/>
            <w:vAlign w:val="bottom"/>
            <w:gridSpan w:val="13"/>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1"/>
        </w:trPr>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26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Restated Certificate of Incorporation</w:t>
              </w:r>
            </w:hyperlink>
          </w:p>
        </w:tc>
        <w:tc>
          <w:tcPr>
            <w:tcW w:w="2640" w:type="dxa"/>
            <w:vAlign w:val="bottom"/>
            <w:gridSpan w:val="10"/>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9/22/15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300" w:type="dxa"/>
            <w:vAlign w:val="bottom"/>
            <w:gridSpan w:val="15"/>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Bylaws</w:t>
              </w:r>
            </w:hyperlink>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9/22/15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300" w:type="dxa"/>
            <w:vAlign w:val="bottom"/>
            <w:gridSpan w:val="15"/>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Employment Agreement effective April 17, 2019 between the</w:t>
              </w:r>
            </w:hyperlink>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Company and Steve Pakola, M.D.</w:t>
              </w:r>
            </w:hyperlink>
          </w:p>
        </w:tc>
        <w:tc>
          <w:tcPr>
            <w:tcW w:w="840" w:type="dxa"/>
            <w:vAlign w:val="bottom"/>
            <w:gridSpan w:val="7"/>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47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Fourth Amendment to License Agreement effective April 4, 2019</w:t>
              </w:r>
            </w:hyperlink>
          </w:p>
        </w:tc>
        <w:tc>
          <w:tcPr>
            <w:tcW w:w="560" w:type="dxa"/>
            <w:vAlign w:val="bottom"/>
            <w:gridSpan w:val="5"/>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between the Company and The Trustees of the University of</w:t>
              </w:r>
            </w:hyperlink>
          </w:p>
        </w:tc>
        <w:tc>
          <w:tcPr>
            <w:tcW w:w="94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00" w:type="dxa"/>
            <w:vAlign w:val="bottom"/>
            <w:gridSpan w:val="15"/>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Pennsylvania</w:t>
              </w:r>
            </w:hyperlink>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5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Letter Agreement to Lease dated April 12, 2019 between the Company</w:t>
              </w:r>
            </w:hyperlink>
          </w:p>
        </w:tc>
        <w:tc>
          <w:tcPr>
            <w:tcW w:w="16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and ARE-Maryland No. 24, LLC</w:t>
              </w:r>
            </w:hyperlink>
          </w:p>
        </w:tc>
        <w:tc>
          <w:tcPr>
            <w:tcW w:w="2840" w:type="dxa"/>
            <w:vAlign w:val="bottom"/>
            <w:gridSpan w:val="12"/>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1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First Amendment to Lease dated April 23, 2019 between the Company</w:t>
              </w:r>
            </w:hyperlink>
          </w:p>
        </w:tc>
        <w:tc>
          <w:tcPr>
            <w:tcW w:w="180" w:type="dxa"/>
            <w:vAlign w:val="bottom"/>
            <w:gridSpan w:val="3"/>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and ARE-Maryland No. 24, LLC</w:t>
              </w:r>
            </w:hyperlink>
          </w:p>
        </w:tc>
        <w:tc>
          <w:tcPr>
            <w:tcW w:w="2840" w:type="dxa"/>
            <w:vAlign w:val="bottom"/>
            <w:gridSpan w:val="12"/>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300" w:type="dxa"/>
            <w:vAlign w:val="bottom"/>
            <w:gridSpan w:val="15"/>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Certification of the Chief Executive Officer, as required by Section 302</w:t>
              </w:r>
            </w:hyperlink>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of the Sarbanes-Oxley Act of 2002</w:t>
              </w:r>
            </w:hyperlink>
          </w:p>
        </w:tc>
        <w:tc>
          <w:tcPr>
            <w:tcW w:w="1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300" w:type="dxa"/>
            <w:vAlign w:val="bottom"/>
            <w:gridSpan w:val="15"/>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Certification of the Chief Financial Officer as required by Section 302</w:t>
              </w:r>
            </w:hyperlink>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of the Sarbanes-Oxley Act of 2002</w:t>
              </w:r>
            </w:hyperlink>
          </w:p>
        </w:tc>
        <w:tc>
          <w:tcPr>
            <w:tcW w:w="24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300" w:type="dxa"/>
            <w:vAlign w:val="bottom"/>
            <w:gridSpan w:val="15"/>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Certifications of the Chief Executive Officer and Chief Financial</w:t>
              </w:r>
            </w:hyperlink>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Officer as required by 18 U.S.C. 1350</w:t>
              </w:r>
            </w:hyperlink>
          </w:p>
        </w:tc>
        <w:tc>
          <w:tcPr>
            <w:tcW w:w="62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gridSpan w:val="6"/>
            <w:shd w:val="clear" w:color="auto" w:fill="0000EE"/>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10-Q for the fiscal quarter ended March 31, 2019 formatted in XBRL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(eXtensible Business Reporting Language):</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40" w:hanging="21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9" w:lineRule="exact"/>
        <w:rPr>
          <w:rFonts w:ascii="Times New Roman" w:cs="Times New Roman" w:eastAsia="Times New Roman" w:hAnsi="Times New Roman"/>
          <w:sz w:val="18"/>
          <w:szCs w:val="18"/>
          <w:color w:val="auto"/>
        </w:rPr>
      </w:pPr>
    </w:p>
    <w:p>
      <w:pPr>
        <w:ind w:left="920" w:right="5340" w:firstLine="6"/>
        <w:spacing w:after="0" w:line="250" w:lineRule="auto"/>
        <w:tabs>
          <w:tab w:leader="none" w:pos="11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and Comprehensive Income (Loss)</w:t>
      </w:r>
    </w:p>
    <w:p>
      <w:pPr>
        <w:ind w:left="1240" w:hanging="314"/>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rFonts w:ascii="Times New Roman" w:cs="Times New Roman" w:eastAsia="Times New Roman" w:hAnsi="Times New Roman"/>
          <w:sz w:val="18"/>
          <w:szCs w:val="18"/>
          <w:color w:val="auto"/>
        </w:rPr>
      </w:pPr>
    </w:p>
    <w:p>
      <w:pPr>
        <w:ind w:left="1240" w:hanging="314"/>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w:t>
      </w:r>
    </w:p>
    <w:p>
      <w:pPr>
        <w:spacing w:after="0" w:line="9" w:lineRule="exact"/>
        <w:rPr>
          <w:rFonts w:ascii="Times New Roman" w:cs="Times New Roman" w:eastAsia="Times New Roman" w:hAnsi="Times New Roman"/>
          <w:sz w:val="18"/>
          <w:szCs w:val="18"/>
          <w:color w:val="auto"/>
        </w:rPr>
      </w:pPr>
    </w:p>
    <w:p>
      <w:pPr>
        <w:ind w:left="1180" w:hanging="254"/>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690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w:t>
      </w:r>
    </w:p>
    <w:p>
      <w:pPr>
        <w:spacing w:after="0" w:line="247"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The certification attached as Exhibit 32.1 that accompanies this Quarterly Report on Form 10-Q is not deemed filed with the SEC and is not to be incorporated by reference into any filing of REGENXBIO Inc. under the Securities Act or the Exchange Act, whether made before or after the date of this Quarterly Report on Form 10-Q, irrespective of any general incorporation language contained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REGENXBIO Inc.</w:t>
            </w:r>
          </w:p>
        </w:tc>
      </w:tr>
      <w:tr>
        <w:trPr>
          <w:trHeight w:val="45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2019</w:t>
            </w:r>
          </w:p>
        </w:tc>
        <w:tc>
          <w:tcPr>
            <w:tcW w:w="274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T. Mills</w:t>
            </w:r>
          </w:p>
        </w:tc>
      </w:tr>
      <w:tr>
        <w:trPr>
          <w:trHeight w:val="191"/>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Kenneth T. Mills</w:t>
            </w:r>
          </w:p>
        </w:tc>
      </w:t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2019</w:t>
            </w:r>
          </w:p>
        </w:tc>
        <w:tc>
          <w:tcPr>
            <w:tcW w:w="274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Vittal Vasista</w:t>
            </w:r>
          </w:p>
        </w:tc>
      </w:tr>
      <w:tr>
        <w:trPr>
          <w:trHeight w:val="191"/>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Vittal Vasista</w:t>
            </w:r>
          </w:p>
        </w:tc>
      </w:t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837"/>
        </w:trPr>
        <w:tc>
          <w:tcPr>
            <w:tcW w:w="3540" w:type="dxa"/>
            <w:vAlign w:val="bottom"/>
          </w:tcPr>
          <w:p>
            <w:pPr>
              <w:spacing w:after="0"/>
              <w:rPr>
                <w:sz w:val="24"/>
                <w:szCs w:val="24"/>
                <w:color w:val="auto"/>
              </w:rPr>
            </w:pPr>
          </w:p>
        </w:tc>
        <w:tc>
          <w:tcPr>
            <w:tcW w:w="2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[Letterhead of REGENXBIO Inc.]</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Employment Agreement (this “Agreement”) is entered into as of March 6, 2019, by and between Stephen Pakola (the “Employee”) and REGENXBIO Inc., a Delaware corporation (the “Company”) and made effective as of the Commencement Date as herein defined.</w:t>
      </w:r>
    </w:p>
    <w:p>
      <w:pPr>
        <w:spacing w:after="0" w:line="170"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Position.</w:t>
      </w:r>
    </w:p>
    <w:p>
      <w:pPr>
        <w:spacing w:after="0" w:line="210" w:lineRule="exact"/>
        <w:rPr>
          <w:rFonts w:ascii="Times New Roman" w:cs="Times New Roman" w:eastAsia="Times New Roman" w:hAnsi="Times New Roman"/>
          <w:sz w:val="22"/>
          <w:szCs w:val="22"/>
          <w:color w:val="auto"/>
        </w:rPr>
      </w:pPr>
    </w:p>
    <w:p>
      <w:pPr>
        <w:jc w:val="both"/>
        <w:ind w:left="1660" w:hanging="436"/>
        <w:spacing w:after="0" w:line="245" w:lineRule="auto"/>
        <w:tabs>
          <w:tab w:leader="none" w:pos="166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the Company’s offer to employ you is contingent upon the Company obtaining results of its investigation into your background that it determines in its sole discretion to be satisfactory. This Agreement shall not become effective until you report, ready, willing and able to work on April 15, 2019 (“Commencement Date”). During your employment with the Company pursuant to this Agreement, you will hold the title of Senior Vice President, Chief Medical Officer. As the Senior Vice President, Chief Medical Officer you shall report directly to the Chief Executive Officer. By signing this Agreement, you agree to perform the duties and fulfill the responsibilities normally inherent in the position of Senior Vice President, Chief Medical Officer and such other duties and responsibilities as may from time to time reasonably be assigned to you. You will be primarily located and working from our New York office, located at 400 Madison Avenue, New York, NY. For the first calendar year of your employment, you agree to spend four days per week at our Maryland, Corporate Headquarters office located in Rockville, MD, unless otherwise mutually agreed to in writing.</w:t>
      </w:r>
    </w:p>
    <w:p>
      <w:pPr>
        <w:spacing w:after="0" w:line="178" w:lineRule="exact"/>
        <w:rPr>
          <w:rFonts w:ascii="Times New Roman" w:cs="Times New Roman" w:eastAsia="Times New Roman" w:hAnsi="Times New Roman"/>
          <w:sz w:val="21"/>
          <w:szCs w:val="21"/>
          <w:color w:val="auto"/>
        </w:rPr>
      </w:pPr>
    </w:p>
    <w:p>
      <w:pPr>
        <w:jc w:val="both"/>
        <w:ind w:left="1660" w:hanging="436"/>
        <w:spacing w:after="0" w:line="244" w:lineRule="auto"/>
        <w:tabs>
          <w:tab w:leader="none" w:pos="166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to the best of your ability and experience, you will at all times loyally and conscientiously perform all of the duties and obligations required of and from you pursuant to the express and implicit terms hereof, and to the reasonable satisfaction of the Company. During the term of your employment with the Company, you further agree that (i) you will devote substantially all of your business time and attention to the business of the Company, (ii) the Company will be entitled to all of the benefits and profits arising from or incident to all such business services, (iii) you will not render commercial or professional services of any nature to any person or organization outside of the Company without the prior written approval of the Company’s Board of Directors (the “Board”), and (iv) you will not directly or indirectly engage or participate in any business that is competitive in any manner with the business of the Company. Notwithstanding the above, you may continue, on your own time, at your own expense and so as to not interfere with your duties and responsibilities at the Company to (i) subject to the prior approval of the Company’s Chief Executive Officer, serve as a member of an advisory board or board of directors of other companies that are not competitive in any manner with the Company, (ii) accept speaking or presentation engagements in exchange for honoraria, and (iii) participate in civic, educational, charitable or fraternal organizations. This Agreement does not prevent you from owning no more than one percent (1%) of the outstanding equity securities of a corporation whose stock is listed on a national stock exchange and is a competitor or potential competitor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8" w:name="page39"/>
    <w:bookmarkEnd w:id="38"/>
    <w:p>
      <w:pPr>
        <w:ind w:left="440" w:hanging="440"/>
        <w:spacing w:after="0"/>
        <w:tabs>
          <w:tab w:leader="none" w:pos="4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ind w:left="1220" w:hanging="436"/>
        <w:spacing w:after="0" w:line="288" w:lineRule="auto"/>
        <w:tabs>
          <w:tab w:leader="none" w:pos="122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Base Salary. </w:t>
      </w:r>
      <w:r>
        <w:rPr>
          <w:rFonts w:ascii="Times New Roman" w:cs="Times New Roman" w:eastAsia="Times New Roman" w:hAnsi="Times New Roman"/>
          <w:sz w:val="21"/>
          <w:szCs w:val="21"/>
          <w:color w:val="auto"/>
        </w:rPr>
        <w:t>You will be paid a salary at a rate of $16,538.47, which is equivalent to $430,000 on an annualized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basis, which will be paid bi-weekly in accordance with the Company’s standard payroll procedures.</w:t>
      </w:r>
    </w:p>
    <w:p>
      <w:pPr>
        <w:spacing w:after="0" w:line="122" w:lineRule="exact"/>
        <w:rPr>
          <w:rFonts w:ascii="Times New Roman" w:cs="Times New Roman" w:eastAsia="Times New Roman" w:hAnsi="Times New Roman"/>
          <w:sz w:val="21"/>
          <w:szCs w:val="21"/>
          <w:color w:val="auto"/>
        </w:rPr>
      </w:pPr>
    </w:p>
    <w:p>
      <w:pPr>
        <w:jc w:val="both"/>
        <w:ind w:left="1220" w:hanging="436"/>
        <w:spacing w:after="0" w:line="246" w:lineRule="auto"/>
        <w:tabs>
          <w:tab w:leader="none" w:pos="122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Incentive Bonus. </w:t>
      </w:r>
      <w:r>
        <w:rPr>
          <w:rFonts w:ascii="Times New Roman" w:cs="Times New Roman" w:eastAsia="Times New Roman" w:hAnsi="Times New Roman"/>
          <w:sz w:val="21"/>
          <w:szCs w:val="21"/>
          <w:color w:val="auto"/>
        </w:rPr>
        <w:t>You shall be eligible for an annual incentive bonus with a target amount equal to 40% of your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Base Salary (the “Annual Target Bonus”). Such bonus (if any) shall be awarded based on criteria established in advance by the Board or the Compensation Committee of the Board (the “Compensation Committee”). Any incentive bonus earned by you for any fiscal year shall only be paid to you if you remain employed by the Company through the payment date for the bonus. The Company shall determine when to pay to you any earned incentive bonus, but shall in no event pay such bonus more than 2½ months following the close of the fiscal year for which it is earned. Any bonus for the fiscal year in which your employment begins will be prorated, based on the number of days you are employed by the Company during that fiscal year. Employees starting employment on or after October 1 are not eligible for a bonus for that fiscal year. The determinations of the Board or the Compensation Committee with respect to such bonus shall be final and binding.</w:t>
      </w:r>
    </w:p>
    <w:p>
      <w:pPr>
        <w:spacing w:after="0" w:line="171" w:lineRule="exact"/>
        <w:rPr>
          <w:rFonts w:ascii="Times New Roman" w:cs="Times New Roman" w:eastAsia="Times New Roman" w:hAnsi="Times New Roman"/>
          <w:sz w:val="21"/>
          <w:szCs w:val="21"/>
          <w:color w:val="auto"/>
        </w:rPr>
      </w:pPr>
    </w:p>
    <w:p>
      <w:pPr>
        <w:ind w:left="1220" w:hanging="436"/>
        <w:spacing w:after="0"/>
        <w:tabs>
          <w:tab w:leader="none" w:pos="122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Annual Review. </w:t>
      </w:r>
      <w:r>
        <w:rPr>
          <w:rFonts w:ascii="Times New Roman" w:cs="Times New Roman" w:eastAsia="Times New Roman" w:hAnsi="Times New Roman"/>
          <w:sz w:val="22"/>
          <w:szCs w:val="22"/>
          <w:color w:val="auto"/>
        </w:rPr>
        <w:t>Your compensation will be reviewed by the Board or Compensation Committee annually.</w:t>
      </w:r>
    </w:p>
    <w:p>
      <w:pPr>
        <w:spacing w:after="0" w:line="206" w:lineRule="exact"/>
        <w:rPr>
          <w:rFonts w:ascii="Times New Roman" w:cs="Times New Roman" w:eastAsia="Times New Roman" w:hAnsi="Times New Roman"/>
          <w:sz w:val="22"/>
          <w:szCs w:val="22"/>
          <w:color w:val="auto"/>
        </w:rPr>
      </w:pPr>
    </w:p>
    <w:p>
      <w:pPr>
        <w:jc w:val="both"/>
        <w:ind w:left="1220" w:hanging="436"/>
        <w:spacing w:after="0" w:line="237" w:lineRule="auto"/>
        <w:tabs>
          <w:tab w:leader="none" w:pos="122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Stock Options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Subject to the approval of the Board or its Compensation Committee, you will be granted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option to purchase 95,000 shares of the Company’s Common Stock (the “Option”). The Option will be subject to the terms and conditions applicable to options granted under the Company’s 2015 Equity Incentive Plan (the “Plan”), as described in the Plan and the related agreement governing the Option. You will vest in 25% of the shares after 12 months of continuous service, and the balance will vest in equal monthly installments over the next 36 months of continuous service, as described in the applicable agreement governing the Option.</w:t>
      </w:r>
    </w:p>
    <w:p>
      <w:pPr>
        <w:spacing w:after="0" w:line="177" w:lineRule="exact"/>
        <w:rPr>
          <w:rFonts w:ascii="Times New Roman" w:cs="Times New Roman" w:eastAsia="Times New Roman" w:hAnsi="Times New Roman"/>
          <w:sz w:val="22"/>
          <w:szCs w:val="22"/>
          <w:color w:val="auto"/>
        </w:rPr>
      </w:pPr>
    </w:p>
    <w:p>
      <w:pPr>
        <w:jc w:val="both"/>
        <w:ind w:left="440" w:hanging="440"/>
        <w:spacing w:after="0" w:line="246" w:lineRule="auto"/>
        <w:tabs>
          <w:tab w:leader="none" w:pos="4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Benefits. </w:t>
      </w:r>
      <w:r>
        <w:rPr>
          <w:rFonts w:ascii="Times New Roman" w:cs="Times New Roman" w:eastAsia="Times New Roman" w:hAnsi="Times New Roman"/>
          <w:sz w:val="22"/>
          <w:szCs w:val="22"/>
          <w:color w:val="auto"/>
        </w:rPr>
        <w:t>As an employee of the Company, you will also be eligible to receive certain employee benefits including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off and medical, dental, life, and long term disability insurance. You will also be eligible to participate in our 401(k) savings plan.</w:t>
      </w:r>
    </w:p>
    <w:p>
      <w:pPr>
        <w:spacing w:after="0" w:line="167" w:lineRule="exact"/>
        <w:rPr>
          <w:rFonts w:ascii="Times New Roman" w:cs="Times New Roman" w:eastAsia="Times New Roman" w:hAnsi="Times New Roman"/>
          <w:sz w:val="22"/>
          <w:szCs w:val="22"/>
          <w:color w:val="auto"/>
        </w:rPr>
      </w:pPr>
    </w:p>
    <w:p>
      <w:pPr>
        <w:jc w:val="both"/>
        <w:ind w:left="440" w:hanging="440"/>
        <w:spacing w:after="0" w:line="237" w:lineRule="auto"/>
        <w:tabs>
          <w:tab w:leader="none" w:pos="4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At-Will Employment; Proprietary Information and Inventions Agreement. </w:t>
      </w:r>
      <w:r>
        <w:rPr>
          <w:rFonts w:ascii="Times New Roman" w:cs="Times New Roman" w:eastAsia="Times New Roman" w:hAnsi="Times New Roman"/>
          <w:sz w:val="22"/>
          <w:szCs w:val="22"/>
          <w:color w:val="auto"/>
        </w:rPr>
        <w:t>Employment with the Company is for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specific period of time. Your employment with the Company is “at will,” meaning that either you or the Company may terminate your employment at any time and for any reason, with or without cause. In addition, you should note that the Company may modify your job title, salary or benefits at its discretion. You agree and affirm that your continued employment with the Company is contingent upon your agreement to comply with the Proprietary Information and Inventions Agreement, a copy of which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67310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40" w:right="239" w:bottom="1440" w:gutter="0" w:footer="0" w:header="0"/>
        </w:sectPr>
      </w:pPr>
    </w:p>
    <w:bookmarkStart w:id="39" w:name="page40"/>
    <w:bookmarkEnd w:id="39"/>
    <w:p>
      <w:pPr>
        <w:jc w:val="both"/>
        <w:ind w:left="440" w:hanging="440"/>
        <w:spacing w:after="0" w:line="246" w:lineRule="auto"/>
        <w:tabs>
          <w:tab w:leader="none" w:pos="4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Indemnification. </w:t>
      </w:r>
      <w:r>
        <w:rPr>
          <w:rFonts w:ascii="Times New Roman" w:cs="Times New Roman" w:eastAsia="Times New Roman" w:hAnsi="Times New Roman"/>
          <w:sz w:val="22"/>
          <w:szCs w:val="22"/>
          <w:color w:val="auto"/>
        </w:rPr>
        <w:t>The Company shall indemnify you to the fullest extent allowed by law, in accordance with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Company’s Certificate of Incorporation and Bylaws. You shall become a party to the Company’s standard Indemnification Agreement.</w:t>
      </w:r>
    </w:p>
    <w:p>
      <w:pPr>
        <w:spacing w:after="0" w:line="167" w:lineRule="exact"/>
        <w:rPr>
          <w:rFonts w:ascii="Times New Roman" w:cs="Times New Roman" w:eastAsia="Times New Roman" w:hAnsi="Times New Roman"/>
          <w:sz w:val="22"/>
          <w:szCs w:val="22"/>
          <w:color w:val="auto"/>
        </w:rPr>
      </w:pPr>
    </w:p>
    <w:p>
      <w:pPr>
        <w:jc w:val="both"/>
        <w:ind w:left="440" w:hanging="440"/>
        <w:spacing w:after="0" w:line="241" w:lineRule="auto"/>
        <w:tabs>
          <w:tab w:leader="none" w:pos="4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Company Handbook. </w:t>
      </w:r>
      <w:r>
        <w:rPr>
          <w:rFonts w:ascii="Times New Roman" w:cs="Times New Roman" w:eastAsia="Times New Roman" w:hAnsi="Times New Roman"/>
          <w:sz w:val="22"/>
          <w:szCs w:val="22"/>
          <w:color w:val="auto"/>
        </w:rPr>
        <w:t>As a Company employee, you will be expected to abide by the Company's rules of operation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standards of conduct, as amended from time to time in the Company’s discretion. Specifically, you will be required to sign acknowledgments that you have read and that you understand such rules and standards, which are set forth in the Company Handbook and other written policies.</w:t>
      </w:r>
    </w:p>
    <w:p>
      <w:pPr>
        <w:spacing w:after="0" w:line="172"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Employment and Severance Benefits.</w:t>
      </w:r>
    </w:p>
    <w:p>
      <w:pPr>
        <w:spacing w:after="0" w:line="204" w:lineRule="exact"/>
        <w:rPr>
          <w:rFonts w:ascii="Times New Roman" w:cs="Times New Roman" w:eastAsia="Times New Roman" w:hAnsi="Times New Roman"/>
          <w:sz w:val="22"/>
          <w:szCs w:val="22"/>
          <w:color w:val="auto"/>
        </w:rPr>
      </w:pPr>
    </w:p>
    <w:p>
      <w:pPr>
        <w:ind w:left="1220" w:hanging="436"/>
        <w:spacing w:after="0" w:line="288" w:lineRule="auto"/>
        <w:tabs>
          <w:tab w:leader="none" w:pos="122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Preconditions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Any other provision of this Agreement notwithstanding, Subsections of this Section 7 providing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 the payment of severance benefits shall not apply unless each of the following requirements is satisfied:</w:t>
      </w:r>
    </w:p>
    <w:p>
      <w:pPr>
        <w:spacing w:after="0" w:line="128" w:lineRule="exact"/>
        <w:rPr>
          <w:rFonts w:ascii="Times New Roman" w:cs="Times New Roman" w:eastAsia="Times New Roman" w:hAnsi="Times New Roman"/>
          <w:sz w:val="21"/>
          <w:szCs w:val="21"/>
          <w:color w:val="auto"/>
        </w:rPr>
      </w:pPr>
    </w:p>
    <w:p>
      <w:pPr>
        <w:jc w:val="both"/>
        <w:ind w:left="1580" w:hanging="432"/>
        <w:spacing w:after="0" w:line="234" w:lineRule="auto"/>
        <w:tabs>
          <w:tab w:leader="none" w:pos="158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executed a general release of all known and unknown claims that you may then have against the Company or persons affiliated with the Company in a form prescribed by the Company, without alterations. You shall execute and return the release on or before the date specified by the Company in the prescribed form. The release deadline shall in no event be later than sixty (60) days after your termination of employment (the “Release Deadline”). If the 60-day period described in the prior sentence spans two calendar years, then the payments will begin on the first payroll period, following expiration of the revocation period, in the second calendar year. If you fail to return the release on or before the Release Deadline, or if you revoke the release, then you shall not be entitled to the benefits described in this Section 7; and</w:t>
      </w:r>
    </w:p>
    <w:p>
      <w:pPr>
        <w:spacing w:after="0" w:line="184" w:lineRule="exact"/>
        <w:rPr>
          <w:rFonts w:ascii="Times New Roman" w:cs="Times New Roman" w:eastAsia="Times New Roman" w:hAnsi="Times New Roman"/>
          <w:sz w:val="22"/>
          <w:szCs w:val="22"/>
          <w:color w:val="auto"/>
        </w:rPr>
      </w:pPr>
    </w:p>
    <w:p>
      <w:pPr>
        <w:ind w:left="1580" w:hanging="432"/>
        <w:spacing w:after="0"/>
        <w:tabs>
          <w:tab w:leader="none" w:pos="158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returned all property of the Company in your possession.</w:t>
      </w:r>
    </w:p>
    <w:p>
      <w:pPr>
        <w:spacing w:after="0" w:line="200" w:lineRule="exact"/>
        <w:rPr>
          <w:rFonts w:ascii="Times New Roman" w:cs="Times New Roman" w:eastAsia="Times New Roman" w:hAnsi="Times New Roman"/>
          <w:sz w:val="22"/>
          <w:szCs w:val="22"/>
          <w:color w:val="auto"/>
        </w:rPr>
      </w:pPr>
    </w:p>
    <w:p>
      <w:pPr>
        <w:ind w:left="1220" w:hanging="436"/>
        <w:spacing w:after="0" w:line="264" w:lineRule="auto"/>
        <w:tabs>
          <w:tab w:leader="none" w:pos="122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Termination of Employment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Except for the severance benefits provided below, the Company’s obligations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under this Agreement may be terminated upon the occurrence of any of the following events:</w:t>
      </w:r>
    </w:p>
    <w:p>
      <w:pPr>
        <w:spacing w:after="0" w:line="151" w:lineRule="exact"/>
        <w:rPr>
          <w:rFonts w:ascii="Times New Roman" w:cs="Times New Roman" w:eastAsia="Times New Roman" w:hAnsi="Times New Roman"/>
          <w:sz w:val="22"/>
          <w:szCs w:val="22"/>
          <w:color w:val="auto"/>
        </w:rPr>
      </w:pPr>
    </w:p>
    <w:p>
      <w:pPr>
        <w:ind w:left="1580" w:hanging="432"/>
        <w:spacing w:after="0"/>
        <w:tabs>
          <w:tab w:leader="none" w:pos="1580"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determination in good faith that it is terminating you for Cause (“Termination for Cause”);</w:t>
      </w:r>
    </w:p>
    <w:p>
      <w:pPr>
        <w:spacing w:after="0" w:line="217" w:lineRule="exact"/>
        <w:rPr>
          <w:rFonts w:ascii="Times New Roman" w:cs="Times New Roman" w:eastAsia="Times New Roman" w:hAnsi="Times New Roman"/>
          <w:sz w:val="21"/>
          <w:szCs w:val="21"/>
          <w:color w:val="auto"/>
        </w:rPr>
      </w:pPr>
    </w:p>
    <w:p>
      <w:pPr>
        <w:jc w:val="both"/>
        <w:ind w:left="1580" w:hanging="432"/>
        <w:spacing w:after="0" w:line="244" w:lineRule="auto"/>
        <w:tabs>
          <w:tab w:leader="none" w:pos="158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determination that it is terminating you without Cause, which determination may be made by the Company at any time at the Company’s sole discretion, for any or no reason (“Termination Without Cause”);</w:t>
      </w:r>
    </w:p>
    <w:p>
      <w:pPr>
        <w:spacing w:after="0" w:line="173" w:lineRule="exact"/>
        <w:rPr>
          <w:rFonts w:ascii="Times New Roman" w:cs="Times New Roman" w:eastAsia="Times New Roman" w:hAnsi="Times New Roman"/>
          <w:sz w:val="22"/>
          <w:szCs w:val="22"/>
          <w:color w:val="auto"/>
        </w:rPr>
      </w:pPr>
    </w:p>
    <w:p>
      <w:pPr>
        <w:ind w:left="1580" w:hanging="432"/>
        <w:spacing w:after="0" w:line="258" w:lineRule="auto"/>
        <w:tabs>
          <w:tab w:leader="none" w:pos="158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Thirty (30) days following delivery by you of a written notice to the Company stating that you are electing to terminate your employment with the Company (“Voluntary Termination”);</w:t>
      </w:r>
    </w:p>
    <w:p>
      <w:pPr>
        <w:spacing w:after="0" w:line="158" w:lineRule="exact"/>
        <w:rPr>
          <w:rFonts w:ascii="Times New Roman" w:cs="Times New Roman" w:eastAsia="Times New Roman" w:hAnsi="Times New Roman"/>
          <w:sz w:val="22"/>
          <w:szCs w:val="22"/>
          <w:color w:val="auto"/>
        </w:rPr>
      </w:pPr>
    </w:p>
    <w:p>
      <w:pPr>
        <w:ind w:left="1580" w:hanging="432"/>
        <w:spacing w:after="0"/>
        <w:tabs>
          <w:tab w:leader="none" w:pos="158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your death or Disability (as defined below); or</w:t>
      </w:r>
    </w:p>
    <w:p>
      <w:pPr>
        <w:spacing w:after="0" w:line="206" w:lineRule="exact"/>
        <w:rPr>
          <w:rFonts w:ascii="Times New Roman" w:cs="Times New Roman" w:eastAsia="Times New Roman" w:hAnsi="Times New Roman"/>
          <w:sz w:val="22"/>
          <w:szCs w:val="22"/>
          <w:color w:val="auto"/>
        </w:rPr>
      </w:pPr>
    </w:p>
    <w:p>
      <w:pPr>
        <w:ind w:left="1580" w:right="20" w:hanging="432"/>
        <w:spacing w:after="0" w:line="258" w:lineRule="auto"/>
        <w:tabs>
          <w:tab w:leader="none" w:pos="158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determination in good faith that you are electing to terminate your employment with the Company for Good Reason.</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67310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40" w:right="239" w:bottom="1440" w:gutter="0" w:footer="0" w:header="0"/>
        </w:sectPr>
      </w:pPr>
    </w:p>
    <w:bookmarkStart w:id="40" w:name="page41"/>
    <w:bookmarkEnd w:id="40"/>
    <w:p>
      <w:pPr>
        <w:ind w:left="460" w:hanging="436"/>
        <w:spacing w:after="0" w:line="264" w:lineRule="auto"/>
        <w:tabs>
          <w:tab w:leader="none" w:pos="4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shall be entitled to receive severance benefits upon termination of employment only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set forth in this Section 7(c):</w:t>
      </w:r>
    </w:p>
    <w:p>
      <w:pPr>
        <w:spacing w:after="0" w:line="145" w:lineRule="exact"/>
        <w:rPr>
          <w:rFonts w:ascii="Times New Roman" w:cs="Times New Roman" w:eastAsia="Times New Roman" w:hAnsi="Times New Roman"/>
          <w:sz w:val="22"/>
          <w:szCs w:val="22"/>
          <w:color w:val="auto"/>
        </w:rPr>
      </w:pPr>
    </w:p>
    <w:p>
      <w:pPr>
        <w:jc w:val="both"/>
        <w:ind w:left="820" w:hanging="432"/>
        <w:spacing w:after="0" w:line="237" w:lineRule="auto"/>
        <w:tabs>
          <w:tab w:leader="none" w:pos="82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Voluntary Termination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the event of a Voluntary Termination you shall not be entitled to receive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payment of any severance benefits. You will receive payment(s) for all salary and unpaid vacation accrued as of the date of your Voluntary Termination and your benefits will be continued under the Company’s then existing benefit plans and policies to the extent permitted under such plans and policies and in accordance with such plans and policies in effect on the date of your Voluntary Termination and in accordance with applicable law.</w:t>
      </w:r>
    </w:p>
    <w:p>
      <w:pPr>
        <w:spacing w:after="0" w:line="175" w:lineRule="exact"/>
        <w:rPr>
          <w:rFonts w:ascii="Times New Roman" w:cs="Times New Roman" w:eastAsia="Times New Roman" w:hAnsi="Times New Roman"/>
          <w:sz w:val="22"/>
          <w:szCs w:val="22"/>
          <w:color w:val="auto"/>
        </w:rPr>
      </w:pPr>
    </w:p>
    <w:p>
      <w:pPr>
        <w:jc w:val="both"/>
        <w:ind w:left="820" w:hanging="432"/>
        <w:spacing w:after="0" w:line="233" w:lineRule="auto"/>
        <w:tabs>
          <w:tab w:leader="none" w:pos="82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Involuntary Termination/No Change in Control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If your employment is terminated under Section 7(b)(ii)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(v) above (such termination, an “Involuntary Termination”), you, or your estate or representative, if applicable, will be entitled to receive payment of severance benefits on the date of your Involuntary Termination (the “Severance Benefits”). The Severance Benefits shall consist of salary continuation for nine (9) months of monthly Base Salary amounts; provided that if you become employed during this period, then the Company’s obligation to pay Severance Benefits shall cease upon commencement of your new employment. If you elect to continue your health insurance coverage under the Consolidated Omnibus Budget Reconciliation Act (“COBRA”) following the Separation, then the Company shall pay your monthly premium under COBRA until the earliest of (A) the date that is nine (9) months following your Involuntary Termination (the “Continuation Period”), (B) the expiration of your continuation coverage under COBRA and (C) the date when you are offered substantially equivalent health insurance coverage in connection with new employment or self-employment. Notwithstanding anything to the contrary above, if deemed necessary or advisable by the Company in its sole discretion to avoid adverse tax consequences to the Company or any employee thereof, such COBRA premium payments will be treated as taxable compensation income to you, subject to all applicable withholdings.</w:t>
      </w:r>
    </w:p>
    <w:p>
      <w:pPr>
        <w:spacing w:after="0" w:line="18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67310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38" w:right="239" w:bottom="1440" w:gutter="0" w:footer="0" w:header="0"/>
        </w:sectPr>
      </w:pPr>
    </w:p>
    <w:bookmarkStart w:id="41" w:name="page42"/>
    <w:bookmarkEnd w:id="41"/>
    <w:p>
      <w:pPr>
        <w:jc w:val="both"/>
        <w:ind w:left="820" w:hanging="432"/>
        <w:spacing w:after="0" w:line="232" w:lineRule="auto"/>
        <w:tabs>
          <w:tab w:leader="none" w:pos="8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Involuntary Termination/ Change in Control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If your employment is terminated in an Involuntary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Termination immediately prior to or in the eighteen months following a Change in Control, you, or your estate or representative, if applicable, will be entitled to receive payment of severance benefits on the date of your Involuntary Termination (the “Change in Control Severance Benefits”). The Change in Control Severance Benefits shall consist of salary continuation for twelve (12) months of monthly Base Salary plus a monthly amount equal to your Annual Target Bonus divided by twelve (12). If you elect to continue your health insurance coverage under the Consolidated Omnibus Budget Reconciliation Act (“COBRA”) following the Separation, then the Company shall pay your monthly premium under COBRA until the earliest of (A) the date that is twelve (12) months following your Involuntary Termination (the “Continuation Period”), (B) the expiration of your continuation coverage under COBRA and (C) the date when you are offered substantially equivalent health insurance coverage in connection with new employment or self-employment. Notwithstanding anything to the contrary above, if deemed necessary or advisable by the Company in its sole discretion to avoid adverse tax consequences to the Company or any employee thereof, such COBRA premium payments will be treated as taxable compensation income to you, subject to all applicable withholdings. If immediately prior to or following a Change in Control (as defined in the Company’s 2015 Equity Incentive Plan), your employment with the Company (or the Company’s successor) is terminated in an Involuntary Termination during the remaining vesting period of the options then outstanding as of the date of closing of the Change in Control (the “Options”), then one hundred percent (100%) of the unvested shares subject to the Options shall automatically vest.</w:t>
      </w:r>
    </w:p>
    <w:p>
      <w:pPr>
        <w:spacing w:after="0" w:line="188" w:lineRule="exact"/>
        <w:rPr>
          <w:rFonts w:ascii="Times New Roman" w:cs="Times New Roman" w:eastAsia="Times New Roman" w:hAnsi="Times New Roman"/>
          <w:sz w:val="22"/>
          <w:szCs w:val="22"/>
          <w:color w:val="auto"/>
        </w:rPr>
      </w:pPr>
    </w:p>
    <w:p>
      <w:pPr>
        <w:jc w:val="both"/>
        <w:ind w:left="820" w:hanging="432"/>
        <w:spacing w:after="0" w:line="247" w:lineRule="auto"/>
        <w:tabs>
          <w:tab w:leader="none" w:pos="8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Termination for Cause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the event of your Termination for Cause, you will not be entitled to receive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severance payments. You will receive payment(s) for all salary and unpaid vacation accrued as of the date of your Termination for Cause.</w:t>
      </w:r>
    </w:p>
    <w:p>
      <w:pPr>
        <w:spacing w:after="0" w:line="164" w:lineRule="exact"/>
        <w:rPr>
          <w:rFonts w:ascii="Times New Roman" w:cs="Times New Roman" w:eastAsia="Times New Roman" w:hAnsi="Times New Roman"/>
          <w:sz w:val="22"/>
          <w:szCs w:val="22"/>
          <w:color w:val="auto"/>
        </w:rPr>
      </w:pPr>
    </w:p>
    <w:p>
      <w:pPr>
        <w:jc w:val="both"/>
        <w:ind w:left="820" w:hanging="432"/>
        <w:spacing w:after="0" w:line="244" w:lineRule="auto"/>
        <w:tabs>
          <w:tab w:leader="none" w:pos="8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Termination by Reason of Death or Disability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 the event that your employment with the Company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terminates as a result of your death or Disability (as defined below), you or your estate or representative will receive all salary and unpaid vacation accrued as of the date of your death or Disability, all severance benefits payable under Section 7(b)(ii) above (only to the extent that you were entitled to such benefits before your death) and any other benefits payable under the Company’s then existing benefit plans and policies, to the extent permitted under such plans and policies and in accordance with such plans and policies in effect on the date of death or Disability and in accordance with applicable law. For purposes of this Agreement, “Disability” shall mean that you have been unable to perform your duties hereunder as the result of physical or mental incapacity lasting at least forty-five (45) consecutive calendar days or ninety</w:t>
      </w:r>
    </w:p>
    <w:p>
      <w:pPr>
        <w:spacing w:after="0" w:line="8" w:lineRule="exact"/>
        <w:rPr>
          <w:rFonts w:ascii="Times New Roman" w:cs="Times New Roman" w:eastAsia="Times New Roman" w:hAnsi="Times New Roman"/>
          <w:sz w:val="21"/>
          <w:szCs w:val="21"/>
          <w:color w:val="auto"/>
        </w:rPr>
      </w:pPr>
    </w:p>
    <w:p>
      <w:pPr>
        <w:jc w:val="both"/>
        <w:ind w:left="820"/>
        <w:spacing w:after="0" w:line="235" w:lineRule="auto"/>
        <w:tabs>
          <w:tab w:leader="none" w:pos="129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during any consecutive twelve-month period, after which time such incapacity is determined to be permanent by a physician chosen by the Company and its insurers and acceptable to you or to your legal representative (with such agreement on acceptability not to be unreasonably withheld).</w:t>
      </w:r>
    </w:p>
    <w:p>
      <w:pPr>
        <w:spacing w:after="0" w:line="1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67310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38" w:right="239" w:bottom="1440" w:gutter="0" w:footer="0" w:header="0"/>
        </w:sectPr>
      </w:pPr>
    </w:p>
    <w:bookmarkStart w:id="42" w:name="page43"/>
    <w:bookmarkEnd w:id="42"/>
    <w:p>
      <w:pPr>
        <w:ind w:left="460" w:hanging="436"/>
        <w:spacing w:after="0"/>
        <w:tabs>
          <w:tab w:leader="none" w:pos="4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For purposes of this Agreement, “Cause” shall mean:</w:t>
      </w:r>
    </w:p>
    <w:p>
      <w:pPr>
        <w:spacing w:after="0" w:line="212" w:lineRule="exact"/>
        <w:rPr>
          <w:rFonts w:ascii="Times New Roman" w:cs="Times New Roman" w:eastAsia="Times New Roman" w:hAnsi="Times New Roman"/>
          <w:sz w:val="22"/>
          <w:szCs w:val="22"/>
          <w:color w:val="auto"/>
        </w:rPr>
      </w:pPr>
    </w:p>
    <w:p>
      <w:pPr>
        <w:jc w:val="both"/>
        <w:ind w:left="820" w:hanging="432"/>
        <w:spacing w:after="0" w:line="244" w:lineRule="auto"/>
        <w:tabs>
          <w:tab w:leader="none" w:pos="8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conviction of, or the entering a plea of guilty or no contest (or pleading or accepting deferred adjudication or receiving unadjudicated probation) to or for, any felony or any crime involving moral turpitude;</w:t>
      </w:r>
    </w:p>
    <w:p>
      <w:pPr>
        <w:spacing w:after="0" w:line="173" w:lineRule="exact"/>
        <w:rPr>
          <w:rFonts w:ascii="Times New Roman" w:cs="Times New Roman" w:eastAsia="Times New Roman" w:hAnsi="Times New Roman"/>
          <w:sz w:val="22"/>
          <w:szCs w:val="22"/>
          <w:color w:val="auto"/>
        </w:rPr>
      </w:pPr>
    </w:p>
    <w:p>
      <w:pPr>
        <w:jc w:val="both"/>
        <w:ind w:left="820" w:hanging="432"/>
        <w:spacing w:after="0" w:line="244" w:lineRule="auto"/>
        <w:tabs>
          <w:tab w:leader="none" w:pos="8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 of a material breach of any of the covenants, terms and provisions of this Agreement, the Proprietary Information and Inventions Agreement you will enter into as a condition of your employment, or any other agreement you enter into with the Company;</w:t>
      </w:r>
    </w:p>
    <w:p>
      <w:pPr>
        <w:spacing w:after="0" w:line="173" w:lineRule="exact"/>
        <w:rPr>
          <w:rFonts w:ascii="Times New Roman" w:cs="Times New Roman" w:eastAsia="Times New Roman" w:hAnsi="Times New Roman"/>
          <w:sz w:val="22"/>
          <w:szCs w:val="22"/>
          <w:color w:val="auto"/>
        </w:rPr>
      </w:pPr>
    </w:p>
    <w:p>
      <w:pPr>
        <w:jc w:val="both"/>
        <w:ind w:left="820" w:hanging="432"/>
        <w:spacing w:after="0" w:line="244" w:lineRule="auto"/>
        <w:tabs>
          <w:tab w:leader="none" w:pos="8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 of an act of fraud, embezzlement, misappropriation, willful misconduct or breach of fiduciary duty against the Company or other similar conduct materially harmful or potentially materially harmful to the Company’s best interest, as determined by the Board, in its reasonable sole discretion;</w:t>
      </w:r>
    </w:p>
    <w:p>
      <w:pPr>
        <w:spacing w:after="0" w:line="173" w:lineRule="exact"/>
        <w:rPr>
          <w:rFonts w:ascii="Times New Roman" w:cs="Times New Roman" w:eastAsia="Times New Roman" w:hAnsi="Times New Roman"/>
          <w:sz w:val="22"/>
          <w:szCs w:val="22"/>
          <w:color w:val="auto"/>
        </w:rPr>
      </w:pPr>
    </w:p>
    <w:p>
      <w:pPr>
        <w:jc w:val="both"/>
        <w:ind w:left="820" w:hanging="432"/>
        <w:spacing w:after="0" w:line="239" w:lineRule="auto"/>
        <w:tabs>
          <w:tab w:leader="none" w:pos="8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failure to perform assigned duties or responsibilities as the Senior Vice President, Chief Medical Officer (other than a failure resulting from Disability (as defined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you shall be given written notice of, and shall have a ten (10) day period following such notice to cure a failure or refusal under this subclause (iv); or</w:t>
      </w:r>
    </w:p>
    <w:p>
      <w:pPr>
        <w:spacing w:after="0" w:line="180" w:lineRule="exact"/>
        <w:rPr>
          <w:rFonts w:ascii="Times New Roman" w:cs="Times New Roman" w:eastAsia="Times New Roman" w:hAnsi="Times New Roman"/>
          <w:sz w:val="22"/>
          <w:szCs w:val="22"/>
          <w:color w:val="auto"/>
        </w:rPr>
      </w:pPr>
    </w:p>
    <w:p>
      <w:pPr>
        <w:ind w:left="820" w:hanging="432"/>
        <w:spacing w:after="0"/>
        <w:tabs>
          <w:tab w:leader="none" w:pos="8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violation of any federal or state law or regulation applicable to the Company’s business.</w:t>
      </w:r>
    </w:p>
    <w:p>
      <w:pPr>
        <w:spacing w:after="0" w:line="200" w:lineRule="exact"/>
        <w:rPr>
          <w:rFonts w:ascii="Times New Roman" w:cs="Times New Roman" w:eastAsia="Times New Roman" w:hAnsi="Times New Roman"/>
          <w:sz w:val="22"/>
          <w:szCs w:val="22"/>
          <w:color w:val="auto"/>
        </w:rPr>
      </w:pPr>
    </w:p>
    <w:p>
      <w:pPr>
        <w:ind w:left="460" w:hanging="436"/>
        <w:spacing w:after="0" w:line="264" w:lineRule="auto"/>
        <w:tabs>
          <w:tab w:leader="none" w:pos="4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Good Reason. </w:t>
      </w:r>
      <w:r>
        <w:rPr>
          <w:rFonts w:ascii="Times New Roman" w:cs="Times New Roman" w:eastAsia="Times New Roman" w:hAnsi="Times New Roman"/>
          <w:sz w:val="22"/>
          <w:szCs w:val="22"/>
          <w:color w:val="auto"/>
        </w:rPr>
        <w:t>For purposes of this Agreement, “Good Reason” shall mean the occurrence of any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following, without your written consent:</w:t>
      </w:r>
    </w:p>
    <w:p>
      <w:pPr>
        <w:spacing w:after="0" w:line="151" w:lineRule="exact"/>
        <w:rPr>
          <w:rFonts w:ascii="Times New Roman" w:cs="Times New Roman" w:eastAsia="Times New Roman" w:hAnsi="Times New Roman"/>
          <w:sz w:val="22"/>
          <w:szCs w:val="22"/>
          <w:color w:val="auto"/>
        </w:rPr>
      </w:pPr>
    </w:p>
    <w:p>
      <w:pPr>
        <w:ind w:left="820" w:hanging="432"/>
        <w:spacing w:after="0" w:line="258" w:lineRule="auto"/>
        <w:tabs>
          <w:tab w:leader="none" w:pos="8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reduction in your duties or responsibilities or your removal from the position contemplated by this Agreement;</w:t>
      </w:r>
    </w:p>
    <w:p>
      <w:pPr>
        <w:spacing w:after="0" w:line="158" w:lineRule="exact"/>
        <w:rPr>
          <w:rFonts w:ascii="Times New Roman" w:cs="Times New Roman" w:eastAsia="Times New Roman" w:hAnsi="Times New Roman"/>
          <w:sz w:val="22"/>
          <w:szCs w:val="22"/>
          <w:color w:val="auto"/>
        </w:rPr>
      </w:pPr>
    </w:p>
    <w:p>
      <w:pPr>
        <w:ind w:left="820" w:hanging="432"/>
        <w:spacing w:after="0" w:line="258" w:lineRule="auto"/>
        <w:tabs>
          <w:tab w:leader="none" w:pos="8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reduction (thirty percent (30%) or more) in your base salary as in effect immediately prior to such reduction;</w:t>
      </w:r>
    </w:p>
    <w:p>
      <w:pPr>
        <w:spacing w:after="0" w:line="158" w:lineRule="exact"/>
        <w:rPr>
          <w:rFonts w:ascii="Times New Roman" w:cs="Times New Roman" w:eastAsia="Times New Roman" w:hAnsi="Times New Roman"/>
          <w:sz w:val="22"/>
          <w:szCs w:val="22"/>
          <w:color w:val="auto"/>
        </w:rPr>
      </w:pPr>
    </w:p>
    <w:p>
      <w:pPr>
        <w:ind w:left="820" w:hanging="432"/>
        <w:spacing w:after="0" w:line="258" w:lineRule="auto"/>
        <w:tabs>
          <w:tab w:leader="none" w:pos="8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reduction in the type or level of employee benefits to which you are entitled that results in a significant reduction to your overall benefits package, as determined by the Board in its sole discretion; or</w:t>
      </w:r>
    </w:p>
    <w:p>
      <w:pPr>
        <w:spacing w:after="0" w:line="158" w:lineRule="exact"/>
        <w:rPr>
          <w:rFonts w:ascii="Times New Roman" w:cs="Times New Roman" w:eastAsia="Times New Roman" w:hAnsi="Times New Roman"/>
          <w:sz w:val="22"/>
          <w:szCs w:val="22"/>
          <w:color w:val="auto"/>
        </w:rPr>
      </w:pPr>
    </w:p>
    <w:p>
      <w:pPr>
        <w:ind w:left="820" w:right="20" w:hanging="432"/>
        <w:spacing w:after="0" w:line="258" w:lineRule="auto"/>
        <w:tabs>
          <w:tab w:leader="none" w:pos="8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relocation of your principal workplace by more than 35 miles from the primary office where you performed services prior to the relocation.</w:t>
      </w:r>
    </w:p>
    <w:p>
      <w:pPr>
        <w:spacing w:after="0" w:line="158" w:lineRule="exact"/>
        <w:rPr>
          <w:sz w:val="20"/>
          <w:szCs w:val="20"/>
          <w:color w:val="auto"/>
        </w:rPr>
      </w:pPr>
    </w:p>
    <w:p>
      <w:pPr>
        <w:jc w:val="both"/>
        <w:ind w:left="460"/>
        <w:spacing w:after="0" w:line="244" w:lineRule="auto"/>
        <w:rPr>
          <w:sz w:val="20"/>
          <w:szCs w:val="20"/>
          <w:color w:val="auto"/>
        </w:rPr>
      </w:pPr>
      <w:r>
        <w:rPr>
          <w:rFonts w:ascii="Times New Roman" w:cs="Times New Roman" w:eastAsia="Times New Roman" w:hAnsi="Times New Roman"/>
          <w:sz w:val="22"/>
          <w:szCs w:val="22"/>
          <w:color w:val="auto"/>
        </w:rPr>
        <w:t>Good Reason will not be deemed to occur unless you give the Company written notice of the condition within 90 days after the condition comes into existence and the Company fails to remedy the condition with 30 days after receiving said notice.</w:t>
      </w:r>
    </w:p>
    <w:p>
      <w:pPr>
        <w:spacing w:after="0" w:line="1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67310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38" w:right="239" w:bottom="1440" w:gutter="0" w:footer="0" w:header="0"/>
        </w:sectPr>
      </w:pPr>
    </w:p>
    <w:bookmarkStart w:id="43" w:name="page44"/>
    <w:bookmarkEnd w:id="43"/>
    <w:p>
      <w:pPr>
        <w:ind w:left="440" w:hanging="440"/>
        <w:spacing w:after="0"/>
        <w:tabs>
          <w:tab w:leader="none" w:pos="4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Matters.</w:t>
      </w:r>
    </w:p>
    <w:p>
      <w:pPr>
        <w:spacing w:after="0" w:line="204" w:lineRule="exact"/>
        <w:rPr>
          <w:rFonts w:ascii="Times New Roman" w:cs="Times New Roman" w:eastAsia="Times New Roman" w:hAnsi="Times New Roman"/>
          <w:sz w:val="22"/>
          <w:szCs w:val="22"/>
          <w:color w:val="auto"/>
        </w:rPr>
      </w:pPr>
    </w:p>
    <w:p>
      <w:pPr>
        <w:ind w:left="1220" w:hanging="436"/>
        <w:spacing w:after="0" w:line="264" w:lineRule="auto"/>
        <w:tabs>
          <w:tab w:leader="none" w:pos="122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Withholding. </w:t>
      </w:r>
      <w:r>
        <w:rPr>
          <w:rFonts w:ascii="Times New Roman" w:cs="Times New Roman" w:eastAsia="Times New Roman" w:hAnsi="Times New Roman"/>
          <w:sz w:val="22"/>
          <w:szCs w:val="22"/>
          <w:color w:val="auto"/>
        </w:rPr>
        <w:t>All forms of compensation referred to in this Agreement are subject to reduction to reflect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applicable withholding and payroll taxes and other deductions required by law.</w:t>
      </w:r>
    </w:p>
    <w:p>
      <w:pPr>
        <w:spacing w:after="0" w:line="145" w:lineRule="exact"/>
        <w:rPr>
          <w:rFonts w:ascii="Times New Roman" w:cs="Times New Roman" w:eastAsia="Times New Roman" w:hAnsi="Times New Roman"/>
          <w:sz w:val="22"/>
          <w:szCs w:val="22"/>
          <w:color w:val="auto"/>
        </w:rPr>
      </w:pPr>
    </w:p>
    <w:p>
      <w:pPr>
        <w:jc w:val="both"/>
        <w:ind w:left="1220" w:hanging="436"/>
        <w:spacing w:after="0" w:line="241" w:lineRule="auto"/>
        <w:tabs>
          <w:tab w:leader="none" w:pos="122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Tax Advice. </w:t>
      </w:r>
      <w:r>
        <w:rPr>
          <w:rFonts w:ascii="Times New Roman" w:cs="Times New Roman" w:eastAsia="Times New Roman" w:hAnsi="Times New Roman"/>
          <w:sz w:val="22"/>
          <w:szCs w:val="22"/>
          <w:color w:val="auto"/>
        </w:rPr>
        <w:t>You are encouraged to obtain your own tax advice regarding your compensation from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You agree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72" w:lineRule="exact"/>
        <w:rPr>
          <w:rFonts w:ascii="Times New Roman" w:cs="Times New Roman" w:eastAsia="Times New Roman" w:hAnsi="Times New Roman"/>
          <w:sz w:val="22"/>
          <w:szCs w:val="22"/>
          <w:color w:val="auto"/>
        </w:rPr>
      </w:pPr>
    </w:p>
    <w:p>
      <w:pPr>
        <w:jc w:val="both"/>
        <w:ind w:left="1220" w:hanging="436"/>
        <w:spacing w:after="0" w:line="234" w:lineRule="auto"/>
        <w:tabs>
          <w:tab w:leader="none" w:pos="122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280G. </w:t>
      </w:r>
      <w:r>
        <w:rPr>
          <w:rFonts w:ascii="Times New Roman" w:cs="Times New Roman" w:eastAsia="Times New Roman" w:hAnsi="Times New Roman"/>
          <w:sz w:val="22"/>
          <w:szCs w:val="22"/>
          <w:color w:val="auto"/>
        </w:rPr>
        <w:t>Notwithstanding anything contained in this Agreement to the contrary, if any of the payments or benefits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received or to be received by you pursuant to this Agreement when taken together with payments and benefits provided to you under any other plans, contracts, or arrangements with the Company (all such payments and benefits, the “Total Payments”), would be subject to any excise tax (together with any interest or penalties, the “Excise Tax”) imposed under Section 4999 of the Internal Revenue Code (the “Code”), then such Total Payments will be reduced to the extent necessary so that no portion thereof will be subject to the Excise Tax; provided, however, that if you would receive in the aggregate greater value (as determined under Section 280G of the Code and the regulations thereunder) on an after tax basis if the Total Payments were not subject to such reduction, then no such reduction will be made. To effect the reduction described herein, if applicable, the Company will first reduce or eliminate the payments and benefits provided under this Agreement. All calculations required to be made under this Section will be made by the Company’s independent public accountants, subject to the right of your representative to review the same.</w:t>
      </w:r>
    </w:p>
    <w:p>
      <w:pPr>
        <w:spacing w:after="0" w:line="173" w:lineRule="exact"/>
        <w:rPr>
          <w:rFonts w:ascii="Times New Roman" w:cs="Times New Roman" w:eastAsia="Times New Roman" w:hAnsi="Times New Roman"/>
          <w:sz w:val="22"/>
          <w:szCs w:val="22"/>
          <w:color w:val="auto"/>
        </w:rPr>
      </w:pPr>
    </w:p>
    <w:p>
      <w:pPr>
        <w:jc w:val="both"/>
        <w:ind w:left="1220" w:hanging="436"/>
        <w:spacing w:after="0" w:line="233" w:lineRule="auto"/>
        <w:tabs>
          <w:tab w:leader="none" w:pos="122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409A. </w:t>
      </w:r>
      <w:r>
        <w:rPr>
          <w:rFonts w:ascii="Times New Roman" w:cs="Times New Roman" w:eastAsia="Times New Roman" w:hAnsi="Times New Roman"/>
          <w:sz w:val="22"/>
          <w:szCs w:val="22"/>
          <w:color w:val="auto"/>
        </w:rPr>
        <w:t>The intent of the parties is that payments and benefits under this Agreement comply with or be exempt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from Section 409A of the Code and the regulations and guidance promulgated thereunder (collectively, “Code Section 409A”), and this Agreement shall be interpreted and construed in a manner that establishes an exemption from (or compliance with) the requirements of Code Section 409A. Any terms of this Agreement that are undefined or ambiguous shall be interpreted in a manner that complies with Code Section 409A to the extent necessary to comply with Code Section 409A. For purposes of Code Section 409A, your right to receive any installment payments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In no event may you, directly or indirectly, designate the calendar year of any payment to be made under this Agreement, to the extent such payment is subject to Code Section 409A. The Company makes no representation or warranty and shall have no liability to you or any other person if any provisions of this Agreement are determined to constitute deferred compensation subject to Code Section 409A but do not satisfy an exemption from, or the conditions of, Code Section 409A.”</w:t>
      </w:r>
    </w:p>
    <w:p>
      <w:pPr>
        <w:spacing w:after="0" w:line="18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67310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40" w:right="239" w:bottom="1440" w:gutter="0" w:footer="0" w:header="0"/>
        </w:sectPr>
      </w:pPr>
    </w:p>
    <w:bookmarkStart w:id="44" w:name="page45"/>
    <w:bookmarkEnd w:id="44"/>
    <w:p>
      <w:pPr>
        <w:ind w:left="440" w:hanging="440"/>
        <w:spacing w:after="0"/>
        <w:tabs>
          <w:tab w:leader="none" w:pos="4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 Provisions.</w:t>
      </w:r>
    </w:p>
    <w:p>
      <w:pPr>
        <w:spacing w:after="0" w:line="204" w:lineRule="exact"/>
        <w:rPr>
          <w:rFonts w:ascii="Times New Roman" w:cs="Times New Roman" w:eastAsia="Times New Roman" w:hAnsi="Times New Roman"/>
          <w:sz w:val="22"/>
          <w:szCs w:val="22"/>
          <w:color w:val="auto"/>
        </w:rPr>
      </w:pPr>
    </w:p>
    <w:p>
      <w:pPr>
        <w:ind w:left="1220" w:hanging="436"/>
        <w:spacing w:after="0" w:line="264" w:lineRule="auto"/>
        <w:tabs>
          <w:tab w:leader="none" w:pos="12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Choice of Law</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validity, interpretation, construction and performance of this Agreement shall be governed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the laws of the State of Maryland, without giving effect to the principles of conflicts of law.</w:t>
      </w:r>
    </w:p>
    <w:p>
      <w:pPr>
        <w:spacing w:after="0" w:line="145" w:lineRule="exact"/>
        <w:rPr>
          <w:rFonts w:ascii="Times New Roman" w:cs="Times New Roman" w:eastAsia="Times New Roman" w:hAnsi="Times New Roman"/>
          <w:sz w:val="22"/>
          <w:szCs w:val="22"/>
          <w:color w:val="auto"/>
        </w:rPr>
      </w:pPr>
    </w:p>
    <w:p>
      <w:pPr>
        <w:ind w:left="1220" w:hanging="436"/>
        <w:spacing w:after="0" w:line="264" w:lineRule="auto"/>
        <w:tabs>
          <w:tab w:leader="none" w:pos="12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Counterparts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This Agreement may be executed in counterparts, each of which shall be deemed an original, but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all of which together will constitute one and the same instrument.</w:t>
      </w:r>
    </w:p>
    <w:p>
      <w:pPr>
        <w:spacing w:after="0" w:line="145" w:lineRule="exact"/>
        <w:rPr>
          <w:rFonts w:ascii="Times New Roman" w:cs="Times New Roman" w:eastAsia="Times New Roman" w:hAnsi="Times New Roman"/>
          <w:sz w:val="22"/>
          <w:szCs w:val="22"/>
          <w:color w:val="auto"/>
        </w:rPr>
      </w:pPr>
    </w:p>
    <w:p>
      <w:pPr>
        <w:jc w:val="both"/>
        <w:ind w:left="1220" w:hanging="436"/>
        <w:spacing w:after="0" w:line="247" w:lineRule="auto"/>
        <w:tabs>
          <w:tab w:leader="none" w:pos="12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Severability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the event that any provision hereof becomes or is declared by a court of competent jurisdiction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be illegal, unenforceable, or void, this Agreement shall continue in full force and effect without such provision.</w:t>
      </w:r>
    </w:p>
    <w:p>
      <w:pPr>
        <w:spacing w:after="0" w:line="164" w:lineRule="exact"/>
        <w:rPr>
          <w:rFonts w:ascii="Times New Roman" w:cs="Times New Roman" w:eastAsia="Times New Roman" w:hAnsi="Times New Roman"/>
          <w:sz w:val="22"/>
          <w:szCs w:val="22"/>
          <w:color w:val="auto"/>
        </w:rPr>
      </w:pPr>
    </w:p>
    <w:p>
      <w:pPr>
        <w:jc w:val="both"/>
        <w:ind w:left="1220" w:hanging="436"/>
        <w:spacing w:after="0" w:line="264" w:lineRule="auto"/>
        <w:tabs>
          <w:tab w:leader="none" w:pos="122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Acknowledgment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You acknowledge that you have had the opportunity to discuss this matter with and obtain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advice from your private attorney, have had sufficient time to read, and have carefully read and fully understand, all the provisions of this Agreement, and are knowingly and voluntarily entering into this Agreement.</w:t>
      </w:r>
    </w:p>
    <w:p>
      <w:pPr>
        <w:spacing w:after="0" w:line="148" w:lineRule="exact"/>
        <w:rPr>
          <w:rFonts w:ascii="Times New Roman" w:cs="Times New Roman" w:eastAsia="Times New Roman" w:hAnsi="Times New Roman"/>
          <w:sz w:val="21"/>
          <w:szCs w:val="21"/>
          <w:color w:val="auto"/>
        </w:rPr>
      </w:pPr>
    </w:p>
    <w:p>
      <w:pPr>
        <w:jc w:val="both"/>
        <w:ind w:left="1220" w:hanging="436"/>
        <w:spacing w:after="0" w:line="233" w:lineRule="auto"/>
        <w:tabs>
          <w:tab w:leader="none" w:pos="12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Arbitration. </w:t>
      </w:r>
      <w:r>
        <w:rPr>
          <w:rFonts w:ascii="Times New Roman" w:cs="Times New Roman" w:eastAsia="Times New Roman" w:hAnsi="Times New Roman"/>
          <w:sz w:val="22"/>
          <w:szCs w:val="22"/>
          <w:color w:val="auto"/>
        </w:rPr>
        <w:t>Any controversy or claim arising out of this Agreement and any and all claims relating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Employee’s employment with the Company shall be settled by final and binding arbitration. The arbitration shall take place in Montgomery County, Maryland, or, at the Employee’s option, the County in which the Employee primarily worked when the arbitrable dispute or claim first arose. The arbitration shall be administered by the American Arbitration Association under its National Rules for the Resolution of Employment Disputes. Any award or finding shall be confidential. The Employee and the Company agree to provide one another with reasonable access to documents and witnesses in connection with the resolution of the dispute. The Company shall pay the costs of arbitration. However, each party shall be responsible for its own attorneys’ fees, and the arbitrator may not award attorneys’ fees unless a statute or contract at issue specifically authorizes such an award. This Section 9(e) shall not apply to claims for workers’ compensation benefits or unemployment insurance benefits. This Section 9(e) also shall not apply to claims concerning the ownership, validity, infringement, misappropriation, disclosure, misuse or enforceability of any confidential information, patent right, copyright, mask work, trademark or any other trade secret or intellectual property held or sought by either the Employee or the Company (whether or not arising under the Proprietary Information and Inventions Agreement between the Employee and the Company) or with respect to any action the Company wishes to bring for injunctive relief.</w:t>
      </w:r>
    </w:p>
    <w:p>
      <w:pPr>
        <w:spacing w:after="0" w:line="175" w:lineRule="exact"/>
        <w:rPr>
          <w:rFonts w:ascii="Times New Roman" w:cs="Times New Roman" w:eastAsia="Times New Roman" w:hAnsi="Times New Roman"/>
          <w:sz w:val="22"/>
          <w:szCs w:val="22"/>
          <w:color w:val="auto"/>
        </w:rPr>
      </w:pPr>
    </w:p>
    <w:p>
      <w:pPr>
        <w:jc w:val="both"/>
        <w:ind w:left="1220" w:hanging="436"/>
        <w:spacing w:after="0" w:line="247" w:lineRule="auto"/>
        <w:tabs>
          <w:tab w:leader="none" w:pos="12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Entire Agreement. </w:t>
      </w:r>
      <w:r>
        <w:rPr>
          <w:rFonts w:ascii="Times New Roman" w:cs="Times New Roman" w:eastAsia="Times New Roman" w:hAnsi="Times New Roman"/>
          <w:sz w:val="22"/>
          <w:szCs w:val="22"/>
          <w:color w:val="auto"/>
        </w:rPr>
        <w:t>This Agreement, together with the exhibits hereto, sets forth the terms and conditions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employment between the parties and fully supersedes and replaces any other agreement with respect to the terms and conditions of employment.</w:t>
      </w:r>
    </w:p>
    <w:p>
      <w:pPr>
        <w:spacing w:after="0" w:line="16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intentionally left blank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67310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40" w:right="239" w:bottom="1440" w:gutter="0" w:footer="0" w:header="0"/>
        </w:sectPr>
      </w:pPr>
    </w:p>
    <w:bookmarkStart w:id="45" w:name="page46"/>
    <w:bookmarkEnd w:id="45"/>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each of the parties has executed this Agreement, in the case of the Company by its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as of the day and year first above written.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4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REGENXBIO INC</w:t>
            </w:r>
            <w:r>
              <w:rPr>
                <w:rFonts w:ascii="Times New Roman" w:cs="Times New Roman" w:eastAsia="Times New Roman" w:hAnsi="Times New Roman"/>
                <w:sz w:val="22"/>
                <w:szCs w:val="22"/>
                <w:b w:val="1"/>
                <w:bCs w:val="1"/>
                <w:i w:val="1"/>
                <w:iCs w:val="1"/>
                <w:color w:val="auto"/>
              </w:rPr>
              <w:t>.</w:t>
            </w:r>
          </w:p>
        </w:tc>
        <w:tc>
          <w:tcPr>
            <w:tcW w:w="23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EMPLOYEE</w:t>
            </w:r>
          </w:p>
        </w:tc>
        <w:tc>
          <w:tcPr>
            <w:tcW w:w="20" w:type="dxa"/>
            <w:vAlign w:val="bottom"/>
          </w:tcPr>
          <w:p>
            <w:pPr>
              <w:spacing w:after="0"/>
              <w:rPr>
                <w:sz w:val="24"/>
                <w:szCs w:val="24"/>
                <w:color w:val="auto"/>
              </w:rPr>
            </w:pPr>
          </w:p>
        </w:tc>
      </w:tr>
      <w:tr>
        <w:trPr>
          <w:trHeight w:val="447"/>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Kenneth Mills</w:t>
            </w:r>
          </w:p>
        </w:tc>
        <w:tc>
          <w:tcPr>
            <w:tcW w:w="2380" w:type="dxa"/>
            <w:vAlign w:val="bottom"/>
          </w:tcPr>
          <w:p>
            <w:pPr>
              <w:spacing w:after="0"/>
              <w:rPr>
                <w:sz w:val="24"/>
                <w:szCs w:val="24"/>
                <w:color w:val="auto"/>
              </w:rPr>
            </w:pPr>
          </w:p>
        </w:tc>
        <w:tc>
          <w:tcPr>
            <w:tcW w:w="4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Stephen Pakola</w:t>
            </w:r>
          </w:p>
        </w:tc>
        <w:tc>
          <w:tcPr>
            <w:tcW w:w="20" w:type="dxa"/>
            <w:vAlign w:val="bottom"/>
          </w:tcPr>
          <w:p>
            <w:pPr>
              <w:spacing w:after="0"/>
              <w:rPr>
                <w:sz w:val="24"/>
                <w:szCs w:val="24"/>
                <w:color w:val="auto"/>
              </w:rPr>
            </w:pPr>
          </w:p>
        </w:tc>
      </w:tr>
      <w:tr>
        <w:trPr>
          <w:trHeight w:val="4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Kenneth Mills</w:t>
            </w:r>
          </w:p>
        </w:tc>
        <w:tc>
          <w:tcPr>
            <w:tcW w:w="23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March 6, 2019</w:t>
            </w:r>
          </w:p>
        </w:tc>
        <w:tc>
          <w:tcPr>
            <w:tcW w:w="20" w:type="dxa"/>
            <w:vAlign w:val="bottom"/>
          </w:tcPr>
          <w:p>
            <w:pPr>
              <w:spacing w:after="0"/>
              <w:rPr>
                <w:sz w:val="24"/>
                <w:szCs w:val="24"/>
                <w:color w:val="auto"/>
              </w:rPr>
            </w:pPr>
          </w:p>
        </w:tc>
      </w:tr>
      <w:tr>
        <w:trPr>
          <w:trHeight w:val="4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President &amp; CEO</w:t>
            </w:r>
          </w:p>
        </w:tc>
        <w:tc>
          <w:tcPr>
            <w:tcW w:w="2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681"/>
        </w:trPr>
        <w:tc>
          <w:tcPr>
            <w:tcW w:w="9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38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w:t>
            </w: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90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PROPRIETARY INFORMATION AND INVENTIONS AGREEMENT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019"/>
          </w:cols>
          <w:pgMar w:left="1440" w:top="324" w:right="1440" w:bottom="1440" w:gutter="0" w:footer="0" w:header="0"/>
        </w:sectPr>
      </w:pPr>
    </w:p>
    <w:bookmarkStart w:id="47" w:name="page48"/>
    <w:bookmarkEnd w:id="47"/>
    <w:p>
      <w:pPr>
        <w:ind w:left="1006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30" w:lineRule="exact"/>
        <w:rPr>
          <w:sz w:val="20"/>
          <w:szCs w:val="20"/>
          <w:color w:val="auto"/>
        </w:rPr>
      </w:pPr>
    </w:p>
    <w:p>
      <w:pPr>
        <w:jc w:val="both"/>
        <w:ind w:left="20" w:firstLine="185"/>
        <w:spacing w:after="0" w:line="258" w:lineRule="auto"/>
        <w:rPr>
          <w:sz w:val="20"/>
          <w:szCs w:val="20"/>
          <w:color w:val="auto"/>
        </w:rPr>
      </w:pPr>
      <w:r>
        <w:rPr>
          <w:rFonts w:ascii="Times New Roman" w:cs="Times New Roman" w:eastAsia="Times New Roman" w:hAnsi="Times New Roman"/>
          <w:sz w:val="21"/>
          <w:szCs w:val="21"/>
          <w:b w:val="1"/>
          <w:bCs w:val="1"/>
          <w:color w:val="auto"/>
        </w:rPr>
        <w:t>Certain identified information has been excluded from this exhibit because such information both (i) is not material and (ii) would likely cause competitive harm if publicly disclosed. Excluded information is indicated with brackets and asterisks.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w:t>
      </w:r>
      <w:r>
        <w:rPr>
          <w:rFonts w:ascii="Times New Roman" w:cs="Times New Roman" w:eastAsia="Times New Roman" w:hAnsi="Times New Roman"/>
          <w:sz w:val="20"/>
          <w:szCs w:val="20"/>
          <w:b w:val="1"/>
          <w:bCs w:val="1"/>
          <w:color w:val="auto"/>
        </w:rPr>
        <w:t>NIVERSITY</w:t>
      </w:r>
      <w:r>
        <w:rPr>
          <w:rFonts w:ascii="Times New Roman" w:cs="Times New Roman" w:eastAsia="Times New Roman" w:hAnsi="Times New Roman"/>
          <w:sz w:val="29"/>
          <w:szCs w:val="29"/>
          <w:b w:val="1"/>
          <w:bCs w:val="1"/>
          <w:color w:val="auto"/>
        </w:rPr>
        <w:t xml:space="preserve"> </w:t>
      </w:r>
      <w:r>
        <w:rPr>
          <w:rFonts w:ascii="Times New Roman" w:cs="Times New Roman" w:eastAsia="Times New Roman" w:hAnsi="Times New Roman"/>
          <w:sz w:val="29"/>
          <w:szCs w:val="29"/>
          <w:b w:val="1"/>
          <w:bCs w:val="1"/>
          <w:i w:val="1"/>
          <w:iCs w:val="1"/>
          <w:color w:val="auto"/>
        </w:rPr>
        <w:t>of</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0"/>
          <w:szCs w:val="20"/>
          <w:b w:val="1"/>
          <w:bCs w:val="1"/>
          <w:color w:val="auto"/>
        </w:rPr>
        <w:t>ENNSYLVANIA</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u w:val="single" w:color="auto"/>
          <w:color w:val="auto"/>
        </w:rPr>
        <w:t>Fourth Amendment to License Agreement</w:t>
      </w:r>
    </w:p>
    <w:p>
      <w:pPr>
        <w:spacing w:after="0" w:line="221" w:lineRule="exact"/>
        <w:rPr>
          <w:sz w:val="20"/>
          <w:szCs w:val="20"/>
          <w:color w:val="auto"/>
        </w:rPr>
      </w:pPr>
    </w:p>
    <w:p>
      <w:pPr>
        <w:ind w:right="120" w:firstLine="906"/>
        <w:spacing w:after="0" w:line="237" w:lineRule="auto"/>
        <w:rPr>
          <w:sz w:val="20"/>
          <w:szCs w:val="20"/>
          <w:color w:val="auto"/>
        </w:rPr>
      </w:pPr>
      <w:r>
        <w:rPr>
          <w:rFonts w:ascii="Times New Roman" w:cs="Times New Roman" w:eastAsia="Times New Roman" w:hAnsi="Times New Roman"/>
          <w:sz w:val="22"/>
          <w:szCs w:val="22"/>
          <w:color w:val="auto"/>
        </w:rPr>
        <w:t>This Fourth Amendment to License Agreement (this “</w:t>
      </w:r>
      <w:r>
        <w:rPr>
          <w:rFonts w:ascii="Times New Roman" w:cs="Times New Roman" w:eastAsia="Times New Roman" w:hAnsi="Times New Roman"/>
          <w:sz w:val="22"/>
          <w:szCs w:val="22"/>
          <w:i w:val="1"/>
          <w:iCs w:val="1"/>
          <w:color w:val="auto"/>
        </w:rPr>
        <w:t>Fourth Amendment</w:t>
      </w:r>
      <w:r>
        <w:rPr>
          <w:rFonts w:ascii="Times New Roman" w:cs="Times New Roman" w:eastAsia="Times New Roman" w:hAnsi="Times New Roman"/>
          <w:sz w:val="22"/>
          <w:szCs w:val="22"/>
          <w:color w:val="auto"/>
        </w:rPr>
        <w:t>”) effective as of April 4, 2019 (this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Amendment Effective Date</w:t>
      </w:r>
      <w:r>
        <w:rPr>
          <w:rFonts w:ascii="Times New Roman" w:cs="Times New Roman" w:eastAsia="Times New Roman" w:hAnsi="Times New Roman"/>
          <w:sz w:val="22"/>
          <w:szCs w:val="22"/>
          <w:color w:val="auto"/>
        </w:rPr>
        <w:t>”), is made by and between The Trustees of the University of Pennsylvania (“</w:t>
      </w:r>
      <w:r>
        <w:rPr>
          <w:rFonts w:ascii="Times New Roman" w:cs="Times New Roman" w:eastAsia="Times New Roman" w:hAnsi="Times New Roman"/>
          <w:sz w:val="22"/>
          <w:szCs w:val="22"/>
          <w:i w:val="1"/>
          <w:iCs w:val="1"/>
          <w:color w:val="auto"/>
        </w:rPr>
        <w:t>Penn</w:t>
      </w:r>
      <w:r>
        <w:rPr>
          <w:rFonts w:ascii="Times New Roman" w:cs="Times New Roman" w:eastAsia="Times New Roman" w:hAnsi="Times New Roman"/>
          <w:sz w:val="22"/>
          <w:szCs w:val="22"/>
          <w:color w:val="auto"/>
        </w:rPr>
        <w:t>”) and REGENXBIO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 (“</w:t>
      </w:r>
      <w:r>
        <w:rPr>
          <w:rFonts w:ascii="Times New Roman" w:cs="Times New Roman" w:eastAsia="Times New Roman" w:hAnsi="Times New Roman"/>
          <w:sz w:val="22"/>
          <w:szCs w:val="22"/>
          <w:i w:val="1"/>
          <w:iCs w:val="1"/>
          <w:color w:val="auto"/>
        </w:rPr>
        <w:t>Compan</w:t>
      </w:r>
      <w:r>
        <w:rPr>
          <w:rFonts w:ascii="Times New Roman" w:cs="Times New Roman" w:eastAsia="Times New Roman" w:hAnsi="Times New Roman"/>
          <w:sz w:val="22"/>
          <w:szCs w:val="22"/>
          <w:color w:val="auto"/>
        </w:rPr>
        <w:t>y”) (collectively, the “</w:t>
      </w:r>
      <w:r>
        <w:rPr>
          <w:rFonts w:ascii="Times New Roman" w:cs="Times New Roman" w:eastAsia="Times New Roman" w:hAnsi="Times New Roman"/>
          <w:sz w:val="22"/>
          <w:szCs w:val="22"/>
          <w:i w:val="1"/>
          <w:iCs w:val="1"/>
          <w:color w:val="auto"/>
        </w:rPr>
        <w:t>Parties</w:t>
      </w:r>
      <w:r>
        <w:rPr>
          <w:rFonts w:ascii="Times New Roman" w:cs="Times New Roman" w:eastAsia="Times New Roman" w:hAnsi="Times New Roman"/>
          <w:sz w:val="22"/>
          <w:szCs w:val="22"/>
          <w:color w:val="auto"/>
        </w:rPr>
        <w:t>”) and amends the License Agreement between the Parties, which was effective as of February 24, 2009, as subsequently amended by a First Amendment dated March 6, 2009, a Second Amendment dated September 9, 2014, and a Third Amendment dated April 29, 2016 (the “</w:t>
      </w:r>
      <w:r>
        <w:rPr>
          <w:rFonts w:ascii="Times New Roman" w:cs="Times New Roman" w:eastAsia="Times New Roman" w:hAnsi="Times New Roman"/>
          <w:sz w:val="22"/>
          <w:szCs w:val="22"/>
          <w:i w:val="1"/>
          <w:iCs w:val="1"/>
          <w:color w:val="auto"/>
        </w:rPr>
        <w:t>License Agreement</w:t>
      </w:r>
      <w:r>
        <w:rPr>
          <w:rFonts w:ascii="Times New Roman" w:cs="Times New Roman" w:eastAsia="Times New Roman" w:hAnsi="Times New Roman"/>
          <w:sz w:val="22"/>
          <w:szCs w:val="22"/>
          <w:color w:val="auto"/>
        </w:rPr>
        <w:t>”). All capitalized terms used but not defined herein shall have the meaning set forth in the License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1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WHEREAS, there is a Sponsored Research Agreement between the Parties, which has an effective date of December 1, 2014, as subsequently amended by the First Amendment to Sponsored Research Agreement dated April 30, 2016, the Second Amendment to Sponsored Research Agreement dated December 21, 2016, the Third Amendment to Sponsored Research Agreement dated December 23, 2016, the Fourth Amendment to Sponsored Research Agreement dated June 15, 2017, the Fifth Amendment to Sponsored Research Agreement dated January 18, 2018, the Sixth Amendment to Sponsored Research Agreement dated June 20, 2018, and the Seventh Amendment to Sponsored Research Agreement dated December 18, 2018 (“2014 SRA”), and the 2014 SRA includes research relating to Batten disease as part of the Sponsored Research (as defined in the 2014 SRA);</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WHEREAS, Penn has agreed to grant Company a license under the Institution Intellectual Property (as defined in the 2014 SRA) in the 2014 SRA; and</w:t>
      </w:r>
    </w:p>
    <w:p>
      <w:pPr>
        <w:spacing w:after="0" w:line="1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WHEREAS, the Parties desire that the License Agreement be amended as set forth below to reflect the rights and licenses granted to Company in accordance with the 2014 SRA;</w:t>
      </w:r>
    </w:p>
    <w:p>
      <w:pPr>
        <w:spacing w:after="0" w:line="1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promises contained herein, the Parties, intending to be bound, hereby mutually agree to the following:</w:t>
      </w:r>
    </w:p>
    <w:p>
      <w:pPr>
        <w:spacing w:after="0" w:line="158" w:lineRule="exact"/>
        <w:rPr>
          <w:sz w:val="20"/>
          <w:szCs w:val="20"/>
          <w:color w:val="auto"/>
        </w:rPr>
      </w:pPr>
    </w:p>
    <w:p>
      <w:pPr>
        <w:ind w:left="460" w:right="1160" w:hanging="452"/>
        <w:spacing w:after="0" w:line="435" w:lineRule="auto"/>
        <w:tabs>
          <w:tab w:leader="none" w:pos="45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shall be added to Section 1.2 of the License Agreement and incorporated in its entirety: “</w:t>
      </w:r>
      <w:r>
        <w:rPr>
          <w:rFonts w:ascii="Times New Roman" w:cs="Times New Roman" w:eastAsia="Times New Roman" w:hAnsi="Times New Roman"/>
          <w:sz w:val="22"/>
          <w:szCs w:val="22"/>
          <w:i w:val="1"/>
          <w:iCs w:val="1"/>
          <w:color w:val="auto"/>
        </w:rPr>
        <w:t>Background Know-How</w:t>
      </w:r>
      <w:r>
        <w:rPr>
          <w:rFonts w:ascii="Times New Roman" w:cs="Times New Roman" w:eastAsia="Times New Roman" w:hAnsi="Times New Roman"/>
          <w:sz w:val="22"/>
          <w:szCs w:val="22"/>
          <w:color w:val="auto"/>
        </w:rPr>
        <w:t>” means all:</w:t>
      </w:r>
    </w:p>
    <w:p>
      <w:pPr>
        <w:spacing w:after="0" w:line="1" w:lineRule="exact"/>
        <w:rPr>
          <w:rFonts w:ascii="Times New Roman" w:cs="Times New Roman" w:eastAsia="Times New Roman" w:hAnsi="Times New Roman"/>
          <w:sz w:val="22"/>
          <w:szCs w:val="22"/>
          <w:color w:val="auto"/>
        </w:rPr>
      </w:pPr>
    </w:p>
    <w:p>
      <w:pPr>
        <w:ind w:left="920" w:right="900" w:hanging="6"/>
        <w:spacing w:after="0" w:line="258" w:lineRule="auto"/>
        <w:tabs>
          <w:tab w:leader="none" w:pos="177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Know-How that (a) was developed by Dr. Wilson, or other Penn researchers working under his direct supervision, at Penn, and (b) is related to the adeno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8" w:name="page49"/>
    <w:bookmarkEnd w:id="48"/>
    <w:p>
      <w:pPr>
        <w:ind w:left="912" w:right="60"/>
        <w:spacing w:after="0" w:line="235" w:lineRule="auto"/>
        <w:rPr>
          <w:sz w:val="20"/>
          <w:szCs w:val="20"/>
          <w:color w:val="auto"/>
        </w:rPr>
      </w:pPr>
      <w:r>
        <w:rPr>
          <w:rFonts w:ascii="Times New Roman" w:cs="Times New Roman" w:eastAsia="Times New Roman" w:hAnsi="Times New Roman"/>
          <w:sz w:val="22"/>
          <w:szCs w:val="22"/>
          <w:color w:val="auto"/>
        </w:rPr>
        <w:t>associated virus technology platform discovered by Dr. Wilson at Penn prior to September 9, 2014 or is related to the adeno associated virus technology platform discovered by Dr. Wilson at Penn during the performance of a Company sponsored research program after September 9, 2014, and (c) is owned by Penn, and (d) is necessary or useful for the practice of the Patent Rights in connection with the manufacture, use, sale, importation and/or other exploitation of the Licensed Products or the practice of the Licensed Processes in the Territory in the Field of Use, including, without, limitation, any Know-How necessary for the Company to manufacture or have manufactured the materials produced by the Penn Vector Core or Dr. Wilson's lab at Penn; and</w:t>
      </w:r>
    </w:p>
    <w:p>
      <w:pPr>
        <w:spacing w:after="0" w:line="184" w:lineRule="exact"/>
        <w:rPr>
          <w:sz w:val="20"/>
          <w:szCs w:val="20"/>
          <w:color w:val="auto"/>
        </w:rPr>
      </w:pPr>
    </w:p>
    <w:p>
      <w:pPr>
        <w:ind w:left="1812" w:hanging="906"/>
        <w:spacing w:after="0"/>
        <w:tabs>
          <w:tab w:leader="none" w:pos="181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Penn Study Data; and</w:t>
      </w:r>
    </w:p>
    <w:p>
      <w:pPr>
        <w:spacing w:after="0" w:line="206" w:lineRule="exact"/>
        <w:rPr>
          <w:rFonts w:ascii="Times New Roman" w:cs="Times New Roman" w:eastAsia="Times New Roman" w:hAnsi="Times New Roman"/>
          <w:sz w:val="22"/>
          <w:szCs w:val="22"/>
          <w:color w:val="auto"/>
        </w:rPr>
      </w:pPr>
    </w:p>
    <w:p>
      <w:pPr>
        <w:ind w:left="912" w:right="60" w:hanging="6"/>
        <w:spacing w:after="0" w:line="236" w:lineRule="auto"/>
        <w:tabs>
          <w:tab w:leader="none" w:pos="188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information, discoveries, software, methods, works of authorship, techniques, formulae, data, biological materials, processes, unpatentable inventions and other know-how, not including the Patent Rights, that (a) was developed on or after October 1, 2015 by Dr. Wilson, or other Penn researchers working under his direct supervision, at Penn, and (b) is related to Batten disease, and (c) is owned by Penn, and (d) is necessary or useful for the practice of the Patent Rights in connection with the manufacture, use, sale, importation and/or other exploitation of the Licensed Products or the practice of the Licensed Processes in the Territory in the Batten Field of Use.</w:t>
      </w:r>
    </w:p>
    <w:p>
      <w:pPr>
        <w:spacing w:after="0" w:line="178" w:lineRule="exact"/>
        <w:rPr>
          <w:sz w:val="20"/>
          <w:szCs w:val="20"/>
          <w:color w:val="auto"/>
        </w:rPr>
      </w:pPr>
    </w:p>
    <w:p>
      <w:pPr>
        <w:ind w:left="452" w:right="68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Batten’s Field of Use</w:t>
      </w:r>
      <w:r>
        <w:rPr>
          <w:rFonts w:ascii="Times New Roman" w:cs="Times New Roman" w:eastAsia="Times New Roman" w:hAnsi="Times New Roman"/>
          <w:sz w:val="22"/>
          <w:szCs w:val="22"/>
          <w:color w:val="auto"/>
        </w:rPr>
        <w:t>” means the treatment of a form of Batten disease known as late infantile ceroidal lipofuscinosis (LINCL) via AAV mediated gene therapy delivery of tripeptidyl peptidase 1 (TPP1).</w:t>
      </w:r>
    </w:p>
    <w:p>
      <w:pPr>
        <w:spacing w:after="0" w:line="154" w:lineRule="exact"/>
        <w:rPr>
          <w:sz w:val="20"/>
          <w:szCs w:val="20"/>
          <w:color w:val="auto"/>
        </w:rPr>
      </w:pPr>
    </w:p>
    <w:p>
      <w:pPr>
        <w:ind w:left="452" w:hanging="452"/>
        <w:spacing w:after="0"/>
        <w:tabs>
          <w:tab w:leader="none" w:pos="45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definitions in Section 1.2 of the License Agreement shall be amended and restated in their entirety as follows:</w:t>
      </w:r>
    </w:p>
    <w:p>
      <w:pPr>
        <w:spacing w:after="0" w:line="217" w:lineRule="exact"/>
        <w:rPr>
          <w:rFonts w:ascii="Times New Roman" w:cs="Times New Roman" w:eastAsia="Times New Roman" w:hAnsi="Times New Roman"/>
          <w:sz w:val="21"/>
          <w:szCs w:val="21"/>
          <w:color w:val="auto"/>
        </w:rPr>
      </w:pPr>
    </w:p>
    <w:p>
      <w:pPr>
        <w:ind w:left="452"/>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“Field of Use” means any and all fields of use, except with respect to (i) the Patent Rights listed in Exhibit A, Part 2 and all related Know-How and data, for which the Field of Use is limited to viral vector mediated gene therapy, and (ii) the Penn Study Data, for which the Field of Use is limited to the treatment of familial hypercholesterolemia (FH). For clarity, the Field of Use includes the Batten Field of Use.</w:t>
      </w:r>
    </w:p>
    <w:p>
      <w:pPr>
        <w:spacing w:after="0" w:line="39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52"/>
          </w:cols>
          <w:pgMar w:left="248" w:top="328" w:right="299" w:bottom="1440" w:gutter="0" w:footer="0" w:header="0"/>
        </w:sectPr>
      </w:pPr>
    </w:p>
    <w:bookmarkStart w:id="49" w:name="page50"/>
    <w:bookmarkEnd w:id="49"/>
    <w:p>
      <w:pPr>
        <w:ind w:left="45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Patent Rights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912" w:right="80" w:hanging="6"/>
        <w:spacing w:after="0" w:line="234" w:lineRule="auto"/>
        <w:tabs>
          <w:tab w:leader="none" w:pos="176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Penn’s patent rights represented by or issuing from the United States patents and patent applications (including provisional patent applications) listed in Exhibit A, as well as any continuations, continuations-in-part (to the extent the inventions claimed or disclosed in any such patent or patent applications are directed to subject matter specifically described in the patent or patent applications listed in Exhibit A), divisionals, reexaminations, renewals, re-issues, substitutions, extensions and foreign counterparts of any of the foregoing, and all other patents and patent applications that claim priority from or have common priority with any of the foregoing patents and patent applications (to the extent the inventions claimed or disclosed in any such patent or patent applications are directed to subject matter specifically described in the patent or patent applications listed in Exhibit A) and including any patents issuing from any of the foregoing; and</w:t>
      </w:r>
    </w:p>
    <w:p>
      <w:pPr>
        <w:spacing w:after="0" w:line="184" w:lineRule="exact"/>
        <w:rPr>
          <w:rFonts w:ascii="Times New Roman" w:cs="Times New Roman" w:eastAsia="Times New Roman" w:hAnsi="Times New Roman"/>
          <w:sz w:val="22"/>
          <w:szCs w:val="22"/>
          <w:color w:val="auto"/>
        </w:rPr>
      </w:pPr>
    </w:p>
    <w:p>
      <w:pPr>
        <w:ind w:left="912" w:hanging="6"/>
        <w:spacing w:after="0" w:line="238" w:lineRule="auto"/>
        <w:tabs>
          <w:tab w:leader="none" w:pos="18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patentable inventions (to the extent they are or become available for license) that (a) were discovered by Dr. Wilson, or other Penn researchers working under his direct supervision at Penn and (b) (I) are related to the adeno associated virus technology platform discovered by Dr. Wilson at Penn prior to the Effective Date or under the SRA, or (II) are necessary or useful for the practice of Penn’s patent rights in the Batten’s Field of Use and conceived and reduced to practice on or after October 1, 2015; and (c) are owned and controlled by Penn.</w:t>
      </w:r>
    </w:p>
    <w:p>
      <w:pPr>
        <w:spacing w:after="0" w:line="173" w:lineRule="exact"/>
        <w:rPr>
          <w:sz w:val="20"/>
          <w:szCs w:val="20"/>
          <w:color w:val="auto"/>
        </w:rPr>
      </w:pPr>
    </w:p>
    <w:p>
      <w:pPr>
        <w:ind w:left="452" w:right="38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SRA</w:t>
      </w:r>
      <w:r>
        <w:rPr>
          <w:rFonts w:ascii="Times New Roman" w:cs="Times New Roman" w:eastAsia="Times New Roman" w:hAnsi="Times New Roman"/>
          <w:sz w:val="21"/>
          <w:szCs w:val="21"/>
          <w:color w:val="auto"/>
        </w:rPr>
        <w:t>” means each of: 1) the Sponsored Research Agreement between the Company and Penn effective as of February 24, 2009, as subsequently amended; 2) the Sponsored Research Agreement between the Company and Penn effective as of November 1, 2013 and any subsequent amendments thereof; and 3) the 2014 SRA and any future amendments thereof.</w:t>
      </w:r>
    </w:p>
    <w:p>
      <w:pPr>
        <w:spacing w:after="0" w:line="155" w:lineRule="exact"/>
        <w:rPr>
          <w:sz w:val="20"/>
          <w:szCs w:val="20"/>
          <w:color w:val="auto"/>
        </w:rPr>
      </w:pPr>
    </w:p>
    <w:p>
      <w:pPr>
        <w:ind w:left="452" w:hanging="452"/>
        <w:spacing w:after="0"/>
        <w:tabs>
          <w:tab w:leader="none" w:pos="45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 is hereby amended to add Section 3.1.1 after Section 3.1 as follows:</w:t>
      </w:r>
    </w:p>
    <w:p>
      <w:pPr>
        <w:spacing w:after="0" w:line="206" w:lineRule="exact"/>
        <w:rPr>
          <w:rFonts w:ascii="Times New Roman" w:cs="Times New Roman" w:eastAsia="Times New Roman" w:hAnsi="Times New Roman"/>
          <w:sz w:val="22"/>
          <w:szCs w:val="22"/>
          <w:color w:val="auto"/>
        </w:rPr>
      </w:pPr>
    </w:p>
    <w:p>
      <w:pPr>
        <w:ind w:left="452" w:right="6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Upfront Fees</w:t>
      </w:r>
      <w:r>
        <w:rPr>
          <w:rFonts w:ascii="Times New Roman" w:cs="Times New Roman" w:eastAsia="Times New Roman" w:hAnsi="Times New Roman"/>
          <w:sz w:val="22"/>
          <w:szCs w:val="22"/>
          <w:color w:val="auto"/>
        </w:rPr>
        <w:t>. In partial consideration of the licenses and rights granted to Company in this Agreement, Company shall pay Penn a one-time upfront fee of [****] within [****] of the Fourth Amendment Effective Date.</w:t>
      </w:r>
    </w:p>
    <w:p>
      <w:pPr>
        <w:spacing w:after="0" w:line="37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24" w:right="259" w:bottom="1440" w:gutter="0" w:footer="0" w:header="0"/>
        </w:sectPr>
      </w:pPr>
    </w:p>
    <w:bookmarkStart w:id="50" w:name="page51"/>
    <w:bookmarkEnd w:id="50"/>
    <w:p>
      <w:pPr>
        <w:ind w:left="460" w:hanging="452"/>
        <w:spacing w:after="0"/>
        <w:tabs>
          <w:tab w:leader="none" w:pos="4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Section 3.2(d) of the License Agreement is hereby added as set forth below:</w:t>
      </w:r>
    </w:p>
    <w:p>
      <w:pPr>
        <w:spacing w:after="0" w:line="206" w:lineRule="exact"/>
        <w:rPr>
          <w:rFonts w:ascii="Times New Roman" w:cs="Times New Roman" w:eastAsia="Times New Roman" w:hAnsi="Times New Roman"/>
          <w:sz w:val="22"/>
          <w:szCs w:val="22"/>
          <w:color w:val="auto"/>
        </w:rPr>
      </w:pPr>
    </w:p>
    <w:p>
      <w:pPr>
        <w:ind w:left="460" w:right="6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“3.2(d) In addition to the royalty due under this Section 3.2, Company shall pay to Penn a [****] additional royalty percentage on Net Sales of Licensed Pharmaceutical Products in the Batten Field of Use sold by Company and its Affiliates and an additional [****] royalty percentage received by Company from third parties on Net Sales of Licensed Pharmaceutical Products in the Batten Field of Use by such third parties. For example, for Net Sales of Licensed Pharmaceutical Products using a novel AAV sold by Company or its Affiliates where annual Net Sales are greater than or equal to [****], the royalty is [****] for such Licensed Pharmaceutical Products in the Batten Field of Use. As a further example, for Net Sales of Licensed Pharmaceutical Products sold by third parties where third party annual Net Sales are greater than or equal to [****], Company shall pay Penn [****] of the royalties received by Company from third parties for such Licensed Pharmaceutical Products in the Batten Field of Use.”</w:t>
      </w:r>
    </w:p>
    <w:p>
      <w:pPr>
        <w:spacing w:after="0" w:line="184"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paragraph of Section 3.2 of the License Agreement is amended and restated in its entirety as follows:</w:t>
      </w:r>
    </w:p>
    <w:p>
      <w:pPr>
        <w:spacing w:after="0" w:line="206" w:lineRule="exact"/>
        <w:rPr>
          <w:rFonts w:ascii="Times New Roman" w:cs="Times New Roman" w:eastAsia="Times New Roman" w:hAnsi="Times New Roman"/>
          <w:sz w:val="22"/>
          <w:szCs w:val="22"/>
          <w:color w:val="auto"/>
        </w:rPr>
      </w:pPr>
    </w:p>
    <w:p>
      <w:pPr>
        <w:ind w:left="460" w:right="20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 in no event shall the [****] paid to Penn by the Company pursuant to Sections 3.2(c) and 3.2(d) above, [****] that would be payable to Penn by the Company on such Net Sales of Licensed Pharmaceutical Products sold by Company and (ii) in no event shall [****] be payable in connection with any [****]. No royalties other than the payments set forth herein shall be due in connection with the exercise of the rights granted herein. [****].”</w:t>
      </w:r>
    </w:p>
    <w:p>
      <w:pPr>
        <w:spacing w:after="0" w:line="180"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 shall be added to the License Agreement as Section 3.3 and incorporated in its entirety:</w:t>
      </w:r>
    </w:p>
    <w:p>
      <w:pPr>
        <w:spacing w:after="0" w:line="206" w:lineRule="exact"/>
        <w:rPr>
          <w:rFonts w:ascii="Times New Roman" w:cs="Times New Roman" w:eastAsia="Times New Roman" w:hAnsi="Times New Roman"/>
          <w:sz w:val="22"/>
          <w:szCs w:val="22"/>
          <w:color w:val="auto"/>
        </w:rPr>
      </w:pPr>
    </w:p>
    <w:p>
      <w:pPr>
        <w:ind w:left="460" w:right="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Development Milestones</w:t>
      </w:r>
      <w:r>
        <w:rPr>
          <w:rFonts w:ascii="Times New Roman" w:cs="Times New Roman" w:eastAsia="Times New Roman" w:hAnsi="Times New Roman"/>
          <w:sz w:val="22"/>
          <w:szCs w:val="22"/>
          <w:color w:val="auto"/>
        </w:rPr>
        <w:t>. In partial consideration of the rights and licenses granted to Company under the Agreement, Company shall pay Penn the following milestone payments within [****] after the first achievement of each event for the first Licensed Product in the Batten Field of Use to achieve the following milestone events: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0" w:type="dxa"/>
            <w:vAlign w:val="bottom"/>
            <w:tcBorders>
              <w:right w:val="single" w:sz="8" w:color="auto"/>
            </w:tcBorders>
          </w:tcPr>
          <w:p>
            <w:pPr>
              <w:spacing w:after="0"/>
              <w:rPr>
                <w:sz w:val="22"/>
                <w:szCs w:val="22"/>
                <w:color w:val="auto"/>
              </w:rPr>
            </w:pPr>
          </w:p>
        </w:tc>
        <w:tc>
          <w:tcPr>
            <w:tcW w:w="550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Development Milestone</w:t>
            </w:r>
          </w:p>
        </w:tc>
        <w:tc>
          <w:tcPr>
            <w:tcW w:w="54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Milestone Payment</w:t>
            </w:r>
          </w:p>
        </w:tc>
        <w:tc>
          <w:tcPr>
            <w:tcW w:w="20" w:type="dxa"/>
            <w:vAlign w:val="bottom"/>
          </w:tcPr>
          <w:p>
            <w:pPr>
              <w:spacing w:after="0"/>
              <w:rPr>
                <w:sz w:val="22"/>
                <w:szCs w:val="22"/>
                <w:color w:val="auto"/>
              </w:rPr>
            </w:pPr>
          </w:p>
        </w:tc>
      </w:tr>
      <w:tr>
        <w:trPr>
          <w:trHeight w:val="209"/>
        </w:trPr>
        <w:tc>
          <w:tcPr>
            <w:tcW w:w="480" w:type="dxa"/>
            <w:vAlign w:val="bottom"/>
            <w:tcBorders>
              <w:right w:val="single" w:sz="8" w:color="auto"/>
            </w:tcBorders>
          </w:tcPr>
          <w:p>
            <w:pPr>
              <w:spacing w:after="0"/>
              <w:rPr>
                <w:sz w:val="18"/>
                <w:szCs w:val="18"/>
                <w:color w:val="auto"/>
              </w:rPr>
            </w:pPr>
          </w:p>
        </w:tc>
        <w:tc>
          <w:tcPr>
            <w:tcW w:w="280" w:type="dxa"/>
            <w:vAlign w:val="bottom"/>
          </w:tcPr>
          <w:p>
            <w:pPr>
              <w:ind w:left="80"/>
              <w:spacing w:after="0" w:line="209" w:lineRule="exact"/>
              <w:rPr>
                <w:sz w:val="20"/>
                <w:szCs w:val="20"/>
                <w:color w:val="auto"/>
              </w:rPr>
            </w:pPr>
            <w:r>
              <w:rPr>
                <w:rFonts w:ascii="Times New Roman" w:cs="Times New Roman" w:eastAsia="Times New Roman" w:hAnsi="Times New Roman"/>
                <w:sz w:val="22"/>
                <w:szCs w:val="22"/>
                <w:color w:val="auto"/>
              </w:rPr>
              <w:t>1.</w:t>
            </w:r>
          </w:p>
        </w:tc>
        <w:tc>
          <w:tcPr>
            <w:tcW w:w="5220" w:type="dxa"/>
            <w:vAlign w:val="bottom"/>
            <w:tcBorders>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First dosing of the first human subject in a Phase 1/2</w:t>
            </w:r>
          </w:p>
        </w:tc>
        <w:tc>
          <w:tcPr>
            <w:tcW w:w="544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18"/>
                <w:szCs w:val="18"/>
                <w:color w:val="auto"/>
              </w:rPr>
            </w:pPr>
          </w:p>
        </w:tc>
      </w:tr>
      <w:tr>
        <w:trPr>
          <w:trHeight w:val="283"/>
        </w:trPr>
        <w:tc>
          <w:tcPr>
            <w:tcW w:w="4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Clinical Trial in the Batten Field of Use</w:t>
            </w:r>
          </w:p>
        </w:tc>
        <w:tc>
          <w:tcPr>
            <w:tcW w:w="54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48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20" w:type="dxa"/>
            <w:vAlign w:val="bottom"/>
            <w:tcBorders>
              <w:bottom w:val="single" w:sz="8" w:color="auto"/>
              <w:right w:val="single" w:sz="8" w:color="auto"/>
            </w:tcBorders>
          </w:tcPr>
          <w:p>
            <w:pPr>
              <w:spacing w:after="0"/>
              <w:rPr>
                <w:sz w:val="17"/>
                <w:szCs w:val="17"/>
                <w:color w:val="auto"/>
              </w:rPr>
            </w:pPr>
          </w:p>
        </w:tc>
        <w:tc>
          <w:tcPr>
            <w:tcW w:w="544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80" w:type="dxa"/>
            <w:vAlign w:val="bottom"/>
            <w:tcBorders>
              <w:right w:val="single" w:sz="8" w:color="auto"/>
            </w:tcBorders>
          </w:tcPr>
          <w:p>
            <w:pPr>
              <w:spacing w:after="0"/>
              <w:rPr>
                <w:sz w:val="18"/>
                <w:szCs w:val="18"/>
                <w:color w:val="auto"/>
              </w:rPr>
            </w:pPr>
          </w:p>
        </w:tc>
        <w:tc>
          <w:tcPr>
            <w:tcW w:w="280" w:type="dxa"/>
            <w:vAlign w:val="bottom"/>
          </w:tcPr>
          <w:p>
            <w:pPr>
              <w:ind w:left="80"/>
              <w:spacing w:after="0" w:line="209" w:lineRule="exact"/>
              <w:rPr>
                <w:sz w:val="20"/>
                <w:szCs w:val="20"/>
                <w:color w:val="auto"/>
              </w:rPr>
            </w:pPr>
            <w:r>
              <w:rPr>
                <w:rFonts w:ascii="Times New Roman" w:cs="Times New Roman" w:eastAsia="Times New Roman" w:hAnsi="Times New Roman"/>
                <w:sz w:val="22"/>
                <w:szCs w:val="22"/>
                <w:color w:val="auto"/>
              </w:rPr>
              <w:t>2.</w:t>
            </w:r>
          </w:p>
        </w:tc>
        <w:tc>
          <w:tcPr>
            <w:tcW w:w="5220" w:type="dxa"/>
            <w:vAlign w:val="bottom"/>
            <w:tcBorders>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w w:val="98"/>
              </w:rPr>
              <w:t>First dosing of the first human subject in a Phase 3 Clinical</w:t>
            </w:r>
          </w:p>
        </w:tc>
        <w:tc>
          <w:tcPr>
            <w:tcW w:w="544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18"/>
                <w:szCs w:val="18"/>
                <w:color w:val="auto"/>
              </w:rPr>
            </w:pPr>
          </w:p>
        </w:tc>
      </w:tr>
      <w:tr>
        <w:trPr>
          <w:trHeight w:val="283"/>
        </w:trPr>
        <w:tc>
          <w:tcPr>
            <w:tcW w:w="4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Trial in the Batten Field of Use</w:t>
            </w:r>
          </w:p>
        </w:tc>
        <w:tc>
          <w:tcPr>
            <w:tcW w:w="54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48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20" w:type="dxa"/>
            <w:vAlign w:val="bottom"/>
            <w:tcBorders>
              <w:bottom w:val="single" w:sz="8" w:color="auto"/>
              <w:right w:val="single" w:sz="8" w:color="auto"/>
            </w:tcBorders>
          </w:tcPr>
          <w:p>
            <w:pPr>
              <w:spacing w:after="0"/>
              <w:rPr>
                <w:sz w:val="17"/>
                <w:szCs w:val="17"/>
                <w:color w:val="auto"/>
              </w:rPr>
            </w:pPr>
          </w:p>
        </w:tc>
        <w:tc>
          <w:tcPr>
            <w:tcW w:w="544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80" w:type="dxa"/>
            <w:vAlign w:val="bottom"/>
            <w:tcBorders>
              <w:right w:val="single" w:sz="8" w:color="auto"/>
            </w:tcBorders>
          </w:tcPr>
          <w:p>
            <w:pPr>
              <w:spacing w:after="0"/>
              <w:rPr>
                <w:sz w:val="18"/>
                <w:szCs w:val="18"/>
                <w:color w:val="auto"/>
              </w:rPr>
            </w:pPr>
          </w:p>
        </w:tc>
        <w:tc>
          <w:tcPr>
            <w:tcW w:w="280" w:type="dxa"/>
            <w:vAlign w:val="bottom"/>
          </w:tcPr>
          <w:p>
            <w:pPr>
              <w:ind w:left="80"/>
              <w:spacing w:after="0" w:line="209" w:lineRule="exact"/>
              <w:rPr>
                <w:sz w:val="20"/>
                <w:szCs w:val="20"/>
                <w:color w:val="auto"/>
              </w:rPr>
            </w:pPr>
            <w:r>
              <w:rPr>
                <w:rFonts w:ascii="Times New Roman" w:cs="Times New Roman" w:eastAsia="Times New Roman" w:hAnsi="Times New Roman"/>
                <w:sz w:val="22"/>
                <w:szCs w:val="22"/>
                <w:color w:val="auto"/>
              </w:rPr>
              <w:t>3.</w:t>
            </w:r>
          </w:p>
        </w:tc>
        <w:tc>
          <w:tcPr>
            <w:tcW w:w="5220" w:type="dxa"/>
            <w:vAlign w:val="bottom"/>
            <w:tcBorders>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BLA Acceptance in the Batten Field of Use in the United</w:t>
            </w:r>
          </w:p>
        </w:tc>
        <w:tc>
          <w:tcPr>
            <w:tcW w:w="544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18"/>
                <w:szCs w:val="18"/>
                <w:color w:val="auto"/>
              </w:rPr>
            </w:pPr>
          </w:p>
        </w:tc>
      </w:tr>
      <w:tr>
        <w:trPr>
          <w:trHeight w:val="283"/>
        </w:trPr>
        <w:tc>
          <w:tcPr>
            <w:tcW w:w="4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States</w:t>
            </w:r>
          </w:p>
        </w:tc>
        <w:tc>
          <w:tcPr>
            <w:tcW w:w="54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48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20" w:type="dxa"/>
            <w:vAlign w:val="bottom"/>
            <w:tcBorders>
              <w:bottom w:val="single" w:sz="8" w:color="auto"/>
              <w:right w:val="single" w:sz="8" w:color="auto"/>
            </w:tcBorders>
          </w:tcPr>
          <w:p>
            <w:pPr>
              <w:spacing w:after="0"/>
              <w:rPr>
                <w:sz w:val="17"/>
                <w:szCs w:val="17"/>
                <w:color w:val="auto"/>
              </w:rPr>
            </w:pPr>
          </w:p>
        </w:tc>
        <w:tc>
          <w:tcPr>
            <w:tcW w:w="544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80" w:type="dxa"/>
            <w:vAlign w:val="bottom"/>
            <w:tcBorders>
              <w:right w:val="single" w:sz="8" w:color="auto"/>
            </w:tcBorders>
          </w:tcPr>
          <w:p>
            <w:pPr>
              <w:spacing w:after="0"/>
              <w:rPr>
                <w:sz w:val="18"/>
                <w:szCs w:val="18"/>
                <w:color w:val="auto"/>
              </w:rPr>
            </w:pPr>
          </w:p>
        </w:tc>
        <w:tc>
          <w:tcPr>
            <w:tcW w:w="280" w:type="dxa"/>
            <w:vAlign w:val="bottom"/>
          </w:tcPr>
          <w:p>
            <w:pPr>
              <w:ind w:left="80"/>
              <w:spacing w:after="0" w:line="209" w:lineRule="exact"/>
              <w:rPr>
                <w:sz w:val="20"/>
                <w:szCs w:val="20"/>
                <w:color w:val="auto"/>
              </w:rPr>
            </w:pPr>
            <w:r>
              <w:rPr>
                <w:rFonts w:ascii="Times New Roman" w:cs="Times New Roman" w:eastAsia="Times New Roman" w:hAnsi="Times New Roman"/>
                <w:sz w:val="22"/>
                <w:szCs w:val="22"/>
                <w:color w:val="auto"/>
              </w:rPr>
              <w:t>4.</w:t>
            </w:r>
          </w:p>
        </w:tc>
        <w:tc>
          <w:tcPr>
            <w:tcW w:w="5220" w:type="dxa"/>
            <w:vAlign w:val="bottom"/>
            <w:tcBorders>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Receipt of Marketing Authorization in the Batten Field of</w:t>
            </w:r>
          </w:p>
        </w:tc>
        <w:tc>
          <w:tcPr>
            <w:tcW w:w="544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18"/>
                <w:szCs w:val="18"/>
                <w:color w:val="auto"/>
              </w:rPr>
            </w:pPr>
          </w:p>
        </w:tc>
      </w:tr>
      <w:tr>
        <w:trPr>
          <w:trHeight w:val="283"/>
        </w:trPr>
        <w:tc>
          <w:tcPr>
            <w:tcW w:w="4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Use outside of the United States</w:t>
            </w:r>
          </w:p>
        </w:tc>
        <w:tc>
          <w:tcPr>
            <w:tcW w:w="54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48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20" w:type="dxa"/>
            <w:vAlign w:val="bottom"/>
            <w:tcBorders>
              <w:bottom w:val="single" w:sz="8" w:color="auto"/>
              <w:right w:val="single" w:sz="8" w:color="auto"/>
            </w:tcBorders>
          </w:tcPr>
          <w:p>
            <w:pPr>
              <w:spacing w:after="0"/>
              <w:rPr>
                <w:sz w:val="17"/>
                <w:szCs w:val="17"/>
                <w:color w:val="auto"/>
              </w:rPr>
            </w:pPr>
          </w:p>
        </w:tc>
        <w:tc>
          <w:tcPr>
            <w:tcW w:w="544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48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ind w:left="4680"/>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54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tcPr>
          <w:p>
            <w:pPr>
              <w:spacing w:after="0"/>
              <w:rPr>
                <w:sz w:val="20"/>
                <w:szCs w:val="20"/>
                <w:color w:val="auto"/>
              </w:rPr>
            </w:pPr>
          </w:p>
        </w:tc>
      </w:tr>
      <w:tr>
        <w:trPr>
          <w:trHeight w:val="465"/>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20" w:type="dxa"/>
            <w:vAlign w:val="bottom"/>
          </w:tcPr>
          <w:p>
            <w:pPr>
              <w:ind w:left="4900"/>
              <w:spacing w:after="0"/>
              <w:rPr>
                <w:sz w:val="20"/>
                <w:szCs w:val="20"/>
                <w:color w:val="auto"/>
              </w:rPr>
            </w:pPr>
            <w:r>
              <w:rPr>
                <w:rFonts w:ascii="Times New Roman" w:cs="Times New Roman" w:eastAsia="Times New Roman" w:hAnsi="Times New Roman"/>
                <w:sz w:val="22"/>
                <w:szCs w:val="22"/>
                <w:color w:val="auto"/>
              </w:rPr>
              <w:t>4</w:t>
            </w: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4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220" w:type="dxa"/>
            <w:vAlign w:val="bottom"/>
            <w:tcBorders>
              <w:bottom w:val="single" w:sz="8" w:color="9A9A9A"/>
            </w:tcBorders>
          </w:tcPr>
          <w:p>
            <w:pPr>
              <w:spacing w:after="0"/>
              <w:rPr>
                <w:sz w:val="8"/>
                <w:szCs w:val="8"/>
                <w:color w:val="auto"/>
              </w:rPr>
            </w:pPr>
          </w:p>
        </w:tc>
        <w:tc>
          <w:tcPr>
            <w:tcW w:w="5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51" w:name="page52"/>
    <w:bookmarkEnd w:id="51"/>
    <w:p>
      <w:pPr>
        <w:ind w:left="460" w:right="180"/>
        <w:spacing w:after="0" w:line="239" w:lineRule="auto"/>
        <w:rPr>
          <w:sz w:val="20"/>
          <w:szCs w:val="20"/>
          <w:color w:val="auto"/>
        </w:rPr>
      </w:pPr>
      <w:r>
        <w:rPr>
          <w:rFonts w:ascii="Times New Roman" w:cs="Times New Roman" w:eastAsia="Times New Roman" w:hAnsi="Times New Roman"/>
          <w:sz w:val="22"/>
          <w:szCs w:val="22"/>
          <w:color w:val="auto"/>
        </w:rPr>
        <w:t>For clarity, the milestone payments set forth in Section 3.3 are [****] with respect to the first Licensed Product in the Batten Field of Use to achieve the foregoing milestone events, regardless of the total number of Licensed Products arising in the Batten Field of Use that achieve the milestone event, and regardless of whether the milestone is achieved by Company, any Affiliate, or any sublicensee.</w:t>
      </w:r>
    </w:p>
    <w:p>
      <w:pPr>
        <w:spacing w:after="0" w:line="181"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 shall be added to the License Agreement as Section 3.4 and incorporated in its entirety:</w:t>
      </w:r>
    </w:p>
    <w:p>
      <w:pPr>
        <w:spacing w:after="0" w:line="233" w:lineRule="exact"/>
        <w:rPr>
          <w:rFonts w:ascii="Times New Roman" w:cs="Times New Roman" w:eastAsia="Times New Roman" w:hAnsi="Times New Roman"/>
          <w:sz w:val="22"/>
          <w:szCs w:val="22"/>
          <w:color w:val="auto"/>
        </w:rPr>
      </w:pPr>
    </w:p>
    <w:p>
      <w:pPr>
        <w:ind w:left="460" w:right="4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Net Sales Milestones</w:t>
      </w:r>
      <w:r>
        <w:rPr>
          <w:rFonts w:ascii="Times New Roman" w:cs="Times New Roman" w:eastAsia="Times New Roman" w:hAnsi="Times New Roman"/>
          <w:sz w:val="22"/>
          <w:szCs w:val="22"/>
          <w:color w:val="auto"/>
        </w:rPr>
        <w:t>. In partial consideration of the rights and licenses granted to Company under this Agreement, Company shall pay Penn the following milestone payments within [****] following the end of the calendar year during which annual Net Sales of Licensed Products within the Batten Field of Use achieve the sales milestones indicated below, regardless of whether the milestone is achieved by Company, any Affiliate, or any sublicensee:</w:t>
      </w:r>
    </w:p>
    <w:p>
      <w:pPr>
        <w:spacing w:after="0" w:line="215" w:lineRule="exact"/>
        <w:rPr>
          <w:sz w:val="20"/>
          <w:szCs w:val="20"/>
          <w:color w:val="auto"/>
        </w:rPr>
      </w:pPr>
    </w:p>
    <w:tbl>
      <w:tblPr>
        <w:tblLayout w:type="fixed"/>
        <w:tblInd w:w="470" w:type="dxa"/>
        <w:tblCellMar>
          <w:top w:w="0" w:type="dxa"/>
          <w:left w:w="0" w:type="dxa"/>
          <w:bottom w:w="0" w:type="dxa"/>
          <w:right w:w="0" w:type="dxa"/>
        </w:tblCellMar>
      </w:tblPr>
      <w:tr>
        <w:trPr>
          <w:trHeight w:val="257"/>
        </w:trPr>
        <w:tc>
          <w:tcPr>
            <w:tcW w:w="55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Milestone</w:t>
            </w:r>
          </w:p>
        </w:tc>
        <w:tc>
          <w:tcPr>
            <w:tcW w:w="54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209"/>
        </w:trPr>
        <w:tc>
          <w:tcPr>
            <w:tcW w:w="5500" w:type="dxa"/>
            <w:vAlign w:val="bottom"/>
            <w:tcBorders>
              <w:left w:val="single" w:sz="8" w:color="auto"/>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1. Annual worldwide Net Sales of Licensed Products within</w:t>
            </w:r>
          </w:p>
        </w:tc>
        <w:tc>
          <w:tcPr>
            <w:tcW w:w="54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5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the Batten Field of Use are [****]</w:t>
            </w:r>
          </w:p>
        </w:tc>
        <w:tc>
          <w:tcPr>
            <w:tcW w:w="5460" w:type="dxa"/>
            <w:vAlign w:val="bottom"/>
            <w:tcBorders>
              <w:right w:val="single" w:sz="8" w:color="auto"/>
            </w:tcBorders>
          </w:tcPr>
          <w:p>
            <w:pPr>
              <w:spacing w:after="0"/>
              <w:rPr>
                <w:sz w:val="24"/>
                <w:szCs w:val="24"/>
                <w:color w:val="auto"/>
              </w:rPr>
            </w:pPr>
          </w:p>
        </w:tc>
      </w:tr>
      <w:tr>
        <w:trPr>
          <w:trHeight w:val="204"/>
        </w:trPr>
        <w:tc>
          <w:tcPr>
            <w:tcW w:w="5500" w:type="dxa"/>
            <w:vAlign w:val="bottom"/>
            <w:tcBorders>
              <w:left w:val="single" w:sz="8" w:color="auto"/>
              <w:bottom w:val="single" w:sz="8" w:color="auto"/>
              <w:right w:val="single" w:sz="8" w:color="auto"/>
            </w:tcBorders>
          </w:tcPr>
          <w:p>
            <w:pPr>
              <w:spacing w:after="0"/>
              <w:rPr>
                <w:sz w:val="17"/>
                <w:szCs w:val="17"/>
                <w:color w:val="auto"/>
              </w:rPr>
            </w:pPr>
          </w:p>
        </w:tc>
        <w:tc>
          <w:tcPr>
            <w:tcW w:w="5460" w:type="dxa"/>
            <w:vAlign w:val="bottom"/>
            <w:tcBorders>
              <w:bottom w:val="single" w:sz="8" w:color="auto"/>
              <w:right w:val="single" w:sz="8" w:color="auto"/>
            </w:tcBorders>
          </w:tcPr>
          <w:p>
            <w:pPr>
              <w:spacing w:after="0"/>
              <w:rPr>
                <w:sz w:val="17"/>
                <w:szCs w:val="17"/>
                <w:color w:val="auto"/>
              </w:rPr>
            </w:pPr>
          </w:p>
        </w:tc>
      </w:tr>
      <w:tr>
        <w:trPr>
          <w:trHeight w:val="209"/>
        </w:trPr>
        <w:tc>
          <w:tcPr>
            <w:tcW w:w="5500" w:type="dxa"/>
            <w:vAlign w:val="bottom"/>
            <w:tcBorders>
              <w:left w:val="single" w:sz="8" w:color="auto"/>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2. Annual worldwide Net Sales of Licensed Products within</w:t>
            </w:r>
          </w:p>
        </w:tc>
        <w:tc>
          <w:tcPr>
            <w:tcW w:w="54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5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the Batten Field of Use are [****]</w:t>
            </w:r>
          </w:p>
        </w:tc>
        <w:tc>
          <w:tcPr>
            <w:tcW w:w="5460" w:type="dxa"/>
            <w:vAlign w:val="bottom"/>
            <w:tcBorders>
              <w:right w:val="single" w:sz="8" w:color="auto"/>
            </w:tcBorders>
          </w:tcPr>
          <w:p>
            <w:pPr>
              <w:spacing w:after="0"/>
              <w:rPr>
                <w:sz w:val="24"/>
                <w:szCs w:val="24"/>
                <w:color w:val="auto"/>
              </w:rPr>
            </w:pPr>
          </w:p>
        </w:tc>
      </w:tr>
      <w:tr>
        <w:trPr>
          <w:trHeight w:val="204"/>
        </w:trPr>
        <w:tc>
          <w:tcPr>
            <w:tcW w:w="5500" w:type="dxa"/>
            <w:vAlign w:val="bottom"/>
            <w:tcBorders>
              <w:left w:val="single" w:sz="8" w:color="auto"/>
              <w:bottom w:val="single" w:sz="8" w:color="auto"/>
              <w:right w:val="single" w:sz="8" w:color="auto"/>
            </w:tcBorders>
          </w:tcPr>
          <w:p>
            <w:pPr>
              <w:spacing w:after="0"/>
              <w:rPr>
                <w:sz w:val="17"/>
                <w:szCs w:val="17"/>
                <w:color w:val="auto"/>
              </w:rPr>
            </w:pPr>
          </w:p>
        </w:tc>
        <w:tc>
          <w:tcPr>
            <w:tcW w:w="5460" w:type="dxa"/>
            <w:vAlign w:val="bottom"/>
            <w:tcBorders>
              <w:bottom w:val="single" w:sz="8" w:color="auto"/>
              <w:right w:val="single" w:sz="8" w:color="auto"/>
            </w:tcBorders>
          </w:tcPr>
          <w:p>
            <w:pPr>
              <w:spacing w:after="0"/>
              <w:rPr>
                <w:sz w:val="17"/>
                <w:szCs w:val="17"/>
                <w:color w:val="auto"/>
              </w:rPr>
            </w:pPr>
          </w:p>
        </w:tc>
      </w:tr>
      <w:tr>
        <w:trPr>
          <w:trHeight w:val="237"/>
        </w:trPr>
        <w:tc>
          <w:tcPr>
            <w:tcW w:w="5500" w:type="dxa"/>
            <w:vAlign w:val="bottom"/>
            <w:tcBorders>
              <w:left w:val="single" w:sz="8" w:color="auto"/>
              <w:bottom w:val="single" w:sz="8" w:color="auto"/>
              <w:right w:val="single" w:sz="8" w:color="auto"/>
            </w:tcBorders>
          </w:tcPr>
          <w:p>
            <w:pPr>
              <w:ind w:left="4960"/>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54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16" w:lineRule="exact"/>
        <w:rPr>
          <w:sz w:val="20"/>
          <w:szCs w:val="20"/>
          <w:color w:val="auto"/>
        </w:rPr>
      </w:pPr>
    </w:p>
    <w:p>
      <w:pPr>
        <w:jc w:val="both"/>
        <w:ind w:left="460"/>
        <w:spacing w:after="0" w:line="238" w:lineRule="auto"/>
        <w:rPr>
          <w:sz w:val="20"/>
          <w:szCs w:val="20"/>
          <w:color w:val="auto"/>
        </w:rPr>
      </w:pPr>
      <w:r>
        <w:rPr>
          <w:rFonts w:ascii="Times New Roman" w:cs="Times New Roman" w:eastAsia="Times New Roman" w:hAnsi="Times New Roman"/>
          <w:sz w:val="22"/>
          <w:szCs w:val="22"/>
          <w:color w:val="auto"/>
        </w:rPr>
        <w:t>For clarity, the foregoing annual Net Sales milestones are [****] Licensed Products within the Batten Field of Use achieve the above annual Net Sales. In addition, in the event that the second annual Net Sales milestone is met with respect to Licensed Products within the Batten Field of Use prior to the achievement of the first annual Net Sales milestone, then the first annual Net Sales milestone with respect to Licensed Products shall also be due along with the payment of the second annual Net Sales milestone.</w:t>
      </w:r>
    </w:p>
    <w:p>
      <w:pPr>
        <w:spacing w:after="0" w:line="204"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3.5 of the License Agreement shall be amended as follows:</w:t>
      </w:r>
    </w:p>
    <w:p>
      <w:pPr>
        <w:spacing w:after="0" w:line="206" w:lineRule="exact"/>
        <w:rPr>
          <w:rFonts w:ascii="Times New Roman" w:cs="Times New Roman" w:eastAsia="Times New Roman" w:hAnsi="Times New Roman"/>
          <w:sz w:val="22"/>
          <w:szCs w:val="22"/>
          <w:color w:val="auto"/>
        </w:rPr>
      </w:pPr>
    </w:p>
    <w:p>
      <w:pPr>
        <w:ind w:left="920" w:right="200" w:hanging="6"/>
        <w:spacing w:after="0" w:line="258" w:lineRule="auto"/>
        <w:tabs>
          <w:tab w:leader="none" w:pos="171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 “A. In all Fields of Use other than the Batten Field of Use” shall be added before the table listing the Date of Sublicense Grant and Sublicensing Fees.</w:t>
      </w:r>
    </w:p>
    <w:p>
      <w:pPr>
        <w:spacing w:after="0" w:line="158" w:lineRule="exact"/>
        <w:rPr>
          <w:rFonts w:ascii="Times New Roman" w:cs="Times New Roman" w:eastAsia="Times New Roman" w:hAnsi="Times New Roman"/>
          <w:sz w:val="22"/>
          <w:szCs w:val="22"/>
          <w:color w:val="auto"/>
        </w:rPr>
      </w:pPr>
    </w:p>
    <w:p>
      <w:pPr>
        <w:ind w:left="1720" w:hanging="806"/>
        <w:spacing w:after="0"/>
        <w:tabs>
          <w:tab w:leader="none" w:pos="172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shall be added after the table listing the Date of Sublicense Grant and Sublicensing Fees: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2" w:name="page53"/>
    <w:bookmarkEnd w:id="52"/>
    <w:tbl>
      <w:tblPr>
        <w:tblLayout w:type="fixed"/>
        <w:tblInd w:w="460" w:type="dxa"/>
        <w:tblCellMar>
          <w:top w:w="0" w:type="dxa"/>
          <w:left w:w="0" w:type="dxa"/>
          <w:bottom w:w="0" w:type="dxa"/>
          <w:right w:w="0" w:type="dxa"/>
        </w:tblCellMar>
      </w:tblPr>
      <w:tr>
        <w:trPr>
          <w:trHeight w:val="28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4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 the Batten Field of Use:</w:t>
            </w:r>
          </w:p>
        </w:tc>
        <w:tc>
          <w:tcPr>
            <w:tcW w:w="5520" w:type="dxa"/>
            <w:vAlign w:val="bottom"/>
          </w:tcPr>
          <w:p>
            <w:pPr>
              <w:spacing w:after="0"/>
              <w:rPr>
                <w:sz w:val="24"/>
                <w:szCs w:val="24"/>
                <w:color w:val="auto"/>
              </w:rPr>
            </w:pPr>
          </w:p>
        </w:tc>
      </w:tr>
      <w:tr>
        <w:trPr>
          <w:trHeight w:val="231"/>
        </w:trPr>
        <w:tc>
          <w:tcPr>
            <w:tcW w:w="5440" w:type="dxa"/>
            <w:vAlign w:val="bottom"/>
            <w:tcBorders>
              <w:bottom w:val="single" w:sz="8" w:color="auto"/>
            </w:tcBorders>
            <w:gridSpan w:val="2"/>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p>
        </w:tc>
      </w:tr>
      <w:tr>
        <w:trPr>
          <w:trHeight w:val="237"/>
        </w:trPr>
        <w:tc>
          <w:tcPr>
            <w:tcW w:w="5440" w:type="dxa"/>
            <w:vAlign w:val="bottom"/>
            <w:tcBorders>
              <w:bottom w:val="single" w:sz="8" w:color="auto"/>
            </w:tcBorders>
            <w:gridSpan w:val="2"/>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Date of Sublicense Grant</w:t>
            </w:r>
          </w:p>
        </w:tc>
        <w:tc>
          <w:tcPr>
            <w:tcW w:w="5520" w:type="dxa"/>
            <w:vAlign w:val="bottom"/>
            <w:tcBorders>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b w:val="1"/>
                <w:bCs w:val="1"/>
                <w:color w:val="auto"/>
              </w:rPr>
              <w:t>Sublicensing Fees</w:t>
            </w:r>
          </w:p>
        </w:tc>
      </w:tr>
      <w:tr>
        <w:trPr>
          <w:trHeight w:val="209"/>
        </w:trPr>
        <w:tc>
          <w:tcPr>
            <w:tcW w:w="5440" w:type="dxa"/>
            <w:vAlign w:val="bottom"/>
            <w:gridSpan w:val="2"/>
          </w:tcPr>
          <w:p>
            <w:pPr>
              <w:ind w:left="100"/>
              <w:spacing w:after="0" w:line="209" w:lineRule="exact"/>
              <w:rPr>
                <w:sz w:val="20"/>
                <w:szCs w:val="20"/>
                <w:color w:val="auto"/>
              </w:rPr>
            </w:pPr>
            <w:r>
              <w:rPr>
                <w:rFonts w:ascii="Times New Roman" w:cs="Times New Roman" w:eastAsia="Times New Roman" w:hAnsi="Times New Roman"/>
                <w:sz w:val="22"/>
                <w:szCs w:val="22"/>
                <w:color w:val="auto"/>
              </w:rPr>
              <w:t>During the period commencing on the Fourth Amendment</w:t>
            </w:r>
          </w:p>
        </w:tc>
        <w:tc>
          <w:tcPr>
            <w:tcW w:w="55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4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Effective Date and ending the day prior to the first dosing of</w:t>
            </w:r>
          </w:p>
        </w:tc>
        <w:tc>
          <w:tcPr>
            <w:tcW w:w="5520" w:type="dxa"/>
            <w:vAlign w:val="bottom"/>
          </w:tcPr>
          <w:p>
            <w:pPr>
              <w:spacing w:after="0"/>
              <w:rPr>
                <w:sz w:val="21"/>
                <w:szCs w:val="21"/>
                <w:color w:val="auto"/>
              </w:rPr>
            </w:pPr>
          </w:p>
        </w:tc>
      </w:tr>
      <w:tr>
        <w:trPr>
          <w:trHeight w:val="283"/>
        </w:trPr>
        <w:tc>
          <w:tcPr>
            <w:tcW w:w="5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the first human subject in a Phase 1/2 Clinical Trial</w:t>
            </w:r>
          </w:p>
        </w:tc>
        <w:tc>
          <w:tcPr>
            <w:tcW w:w="5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-641350</wp:posOffset>
            </wp:positionV>
            <wp:extent cx="6955155" cy="11150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955155" cy="1115060"/>
                    </a:xfrm>
                    <a:prstGeom prst="rect">
                      <a:avLst/>
                    </a:prstGeom>
                    <a:noFill/>
                  </pic:spPr>
                </pic:pic>
              </a:graphicData>
            </a:graphic>
          </wp:anchor>
        </w:drawing>
      </w:r>
    </w:p>
    <w:p>
      <w:pPr>
        <w:spacing w:after="0" w:line="197" w:lineRule="exact"/>
        <w:rPr>
          <w:sz w:val="20"/>
          <w:szCs w:val="20"/>
          <w:color w:val="auto"/>
        </w:rPr>
      </w:pPr>
    </w:p>
    <w:p>
      <w:pPr>
        <w:ind w:left="560" w:right="4820"/>
        <w:spacing w:after="0" w:line="258" w:lineRule="auto"/>
        <w:rPr>
          <w:sz w:val="20"/>
          <w:szCs w:val="20"/>
          <w:color w:val="auto"/>
        </w:rPr>
      </w:pPr>
      <w:r>
        <w:rPr>
          <w:rFonts w:ascii="Times New Roman" w:cs="Times New Roman" w:eastAsia="Times New Roman" w:hAnsi="Times New Roman"/>
          <w:sz w:val="22"/>
          <w:szCs w:val="22"/>
          <w:color w:val="auto"/>
        </w:rPr>
        <w:t>Any date on or after the first dosing of the first human subject [****] in a Phase 1/2 Clinical Trial</w:t>
      </w:r>
    </w:p>
    <w:p>
      <w:pPr>
        <w:spacing w:after="0" w:line="199"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shall be added to Section 3.8 of the License Agreement and incorporated herein in their entirety:</w:t>
      </w:r>
    </w:p>
    <w:p>
      <w:pPr>
        <w:spacing w:after="0" w:line="229" w:lineRule="exact"/>
        <w:rPr>
          <w:rFonts w:ascii="Times New Roman" w:cs="Times New Roman" w:eastAsia="Times New Roman" w:hAnsi="Times New Roman"/>
          <w:sz w:val="22"/>
          <w:szCs w:val="22"/>
          <w:color w:val="auto"/>
        </w:rPr>
      </w:pPr>
    </w:p>
    <w:p>
      <w:pPr>
        <w:jc w:val="both"/>
        <w:ind w:left="46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BLA</w:t>
      </w:r>
      <w:r>
        <w:rPr>
          <w:rFonts w:ascii="Times New Roman" w:cs="Times New Roman" w:eastAsia="Times New Roman" w:hAnsi="Times New Roman"/>
          <w:sz w:val="22"/>
          <w:szCs w:val="22"/>
          <w:color w:val="auto"/>
        </w:rPr>
        <w:t>” means a New Drug Application filed with the FDA as described in 21 C.F.R. § 314, a Biological License Application pursuant to 21 C.F.R. § 601.2, or any equivalent or any corresponding application for Marketing Authorization in any country or regulatory jurisdiction other than the United States.</w:t>
      </w:r>
    </w:p>
    <w:p>
      <w:pPr>
        <w:spacing w:after="0" w:line="194" w:lineRule="exact"/>
        <w:rPr>
          <w:rFonts w:ascii="Times New Roman" w:cs="Times New Roman" w:eastAsia="Times New Roman" w:hAnsi="Times New Roman"/>
          <w:sz w:val="22"/>
          <w:szCs w:val="22"/>
          <w:color w:val="auto"/>
        </w:rPr>
      </w:pPr>
    </w:p>
    <w:p>
      <w:pPr>
        <w:jc w:val="both"/>
        <w:ind w:left="46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Marketing Authorization</w:t>
      </w:r>
      <w:r>
        <w:rPr>
          <w:rFonts w:ascii="Times New Roman" w:cs="Times New Roman" w:eastAsia="Times New Roman" w:hAnsi="Times New Roman"/>
          <w:sz w:val="22"/>
          <w:szCs w:val="22"/>
          <w:color w:val="auto"/>
        </w:rPr>
        <w:t>” means all approvals, licenses, registrations or authorizations of any federal, state or local regulatory agency, department, bureau or other governmental entity, necessary for the manufacturing, use, storage, import, transport, marketing and sale of Licensed Products in a country or regulatory jurisdiction.</w:t>
      </w:r>
    </w:p>
    <w:p>
      <w:pPr>
        <w:spacing w:after="0" w:line="198" w:lineRule="exact"/>
        <w:rPr>
          <w:rFonts w:ascii="Times New Roman" w:cs="Times New Roman" w:eastAsia="Times New Roman" w:hAnsi="Times New Roman"/>
          <w:sz w:val="22"/>
          <w:szCs w:val="22"/>
          <w:color w:val="auto"/>
        </w:rPr>
      </w:pPr>
    </w:p>
    <w:p>
      <w:pPr>
        <w:ind w:left="460" w:right="20" w:hanging="452"/>
        <w:spacing w:after="0" w:line="258" w:lineRule="auto"/>
        <w:tabs>
          <w:tab w:leader="none" w:pos="4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A of the License Agreement is hereby amended and restated in its entirety to add the Patent Rights as set forth in Appendix A to this Fourth Amendment.</w:t>
      </w:r>
    </w:p>
    <w:p>
      <w:pPr>
        <w:spacing w:after="0" w:line="158" w:lineRule="exact"/>
        <w:rPr>
          <w:rFonts w:ascii="Times New Roman" w:cs="Times New Roman" w:eastAsia="Times New Roman" w:hAnsi="Times New Roman"/>
          <w:sz w:val="22"/>
          <w:szCs w:val="22"/>
          <w:color w:val="auto"/>
        </w:rPr>
      </w:pPr>
    </w:p>
    <w:p>
      <w:pPr>
        <w:jc w:val="both"/>
        <w:ind w:left="460" w:hanging="452"/>
        <w:spacing w:after="0" w:line="233" w:lineRule="auto"/>
        <w:tabs>
          <w:tab w:leader="none" w:pos="4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Penn’s knowledge through its Penn Center for Innovation, as of the Fourth Amendment Effective Date, Penn does not Control any patent or patent application related to the Batten disease clinical candidate RGX-181 ([****]) (the “Batten Clinical Candidate”) transgene and expression cassette (other than the Patent Rights set forth in Appendix A to this Fourth Amendment) that would necessarily be infringed by the use or sale of a Licensed Product containing the Batten Clinical Candidate within the Batten Field of Use. If it is determined that as of the Fourth Amendment Effective Date Penn Controls a patent or patent application directly related to the Batten Clinical Candidate transgene and expression cassette (other than the Patent Rights set forth in Appendix A) that was conceived and reduced to practice solely in the Wilson Lab and that would necessarily be infringed by the use or sale of a Licensed Product containing the Batten Clinical Candidate within the Batten Field of Use, then the Parties shall amend Exhibit A to include such applicable patent or patent application For the purpose of this Section 11, “Control” means the possession by Penn (whether by ownership or license, other than pursuant to this Agreement) of the ability to grant to Company access, a license, or a sublicense (as applicable) to the applicable patent or patent application on the terms and conditions set forth herein without violating the terms of any agreement or other arrangement with any third party.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3" w:name="page54"/>
    <w:bookmarkEnd w:id="53"/>
    <w:p>
      <w:pPr>
        <w:jc w:val="both"/>
        <w:ind w:left="460" w:hanging="452"/>
        <w:spacing w:after="0" w:line="236" w:lineRule="auto"/>
        <w:tabs>
          <w:tab w:leader="none" w:pos="4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Fourth Amendment amends the terms of the License Agreement and is deemed incorporated into, and governed by all other terms of, the License Agreement. To the extent that the License Agreement is explicitly amended by this Fourth Amendment, the terms of this Fourth Amendment will control where the terms of the License Agreement are contrary to or conflict with the terms of this Fourth Amendment. All other terms and conditions of the License Agreement not explicitly amended by this Fourth Amendment shall remain in full force and effect. The License Agreement, as previously amended, shall, together with this Fourth Amendment, be read and construed as a single instrument.</w:t>
      </w:r>
    </w:p>
    <w:p>
      <w:pPr>
        <w:spacing w:after="0" w:line="209" w:lineRule="exact"/>
        <w:rPr>
          <w:rFonts w:ascii="Times New Roman" w:cs="Times New Roman" w:eastAsia="Times New Roman" w:hAnsi="Times New Roman"/>
          <w:sz w:val="22"/>
          <w:szCs w:val="22"/>
          <w:color w:val="auto"/>
        </w:rPr>
      </w:pPr>
    </w:p>
    <w:p>
      <w:pPr>
        <w:jc w:val="both"/>
        <w:ind w:left="460" w:hanging="452"/>
        <w:spacing w:after="0" w:line="244" w:lineRule="auto"/>
        <w:tabs>
          <w:tab w:leader="none" w:pos="4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Signatures on this Fourth Amendment may be communicated by facsimile or e-mail transmission and shall be binding upon the Parties upon receipt by transmitting the same by facsimile or e-mail transmission, which signatures shall be deemed originals. If executed in counterparts, the Fourth Amendment shall be effective as if simultaneously executed.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[Intentionally left blank]</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4" w:name="page55"/>
    <w:bookmarkEnd w:id="54"/>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intending to be legally bound, have caused this Fourth Amendment to be executed by their duly authorized representatives.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TRUSTEES OF THE UNIVERSITY OF PENNSYLVANIA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John S. Swartley</w:t>
            </w:r>
          </w:p>
        </w:tc>
      </w:tr>
      <w:tr>
        <w:trPr>
          <w:trHeight w:val="250"/>
        </w:trPr>
        <w:tc>
          <w:tcPr>
            <w:tcW w:w="10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Name:</w:t>
            </w:r>
          </w:p>
        </w:tc>
        <w:tc>
          <w:tcPr>
            <w:tcW w:w="46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John S. Swartley, PhD</w:t>
            </w: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Associate Vice Provost for Research</w:t>
            </w:r>
          </w:p>
        </w:tc>
      </w:tr>
      <w:tr>
        <w:trPr>
          <w:trHeight w:val="243"/>
        </w:trPr>
        <w:tc>
          <w:tcPr>
            <w:tcW w:w="1040" w:type="dxa"/>
            <w:vAlign w:val="bottom"/>
          </w:tcPr>
          <w:p>
            <w:pPr>
              <w:spacing w:after="0"/>
              <w:rPr>
                <w:sz w:val="21"/>
                <w:szCs w:val="21"/>
                <w:color w:val="auto"/>
              </w:rPr>
            </w:pPr>
          </w:p>
        </w:tc>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and Managing Director, PCI</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April 5, 2019</w:t>
            </w:r>
          </w:p>
        </w:tc>
      </w:tr>
      <w:tr>
        <w:trPr>
          <w:trHeight w:val="465"/>
        </w:trPr>
        <w:tc>
          <w:tcPr>
            <w:tcW w:w="57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REGENXBIO INC.</w:t>
            </w:r>
          </w:p>
        </w:tc>
      </w:tr>
      <w:tr>
        <w:trPr>
          <w:trHeight w:val="447"/>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Kenneth T. Mills</w:t>
            </w:r>
          </w:p>
        </w:tc>
      </w:tr>
      <w:tr>
        <w:trPr>
          <w:trHeight w:val="250"/>
        </w:trPr>
        <w:tc>
          <w:tcPr>
            <w:tcW w:w="10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Name:</w:t>
            </w:r>
          </w:p>
        </w:tc>
        <w:tc>
          <w:tcPr>
            <w:tcW w:w="46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Kenneth T. Mills</w:t>
            </w: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4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President and CEO</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April 5, 2019</w:t>
            </w:r>
          </w:p>
        </w:tc>
      </w:tr>
    </w:tbl>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28" w:right="399" w:bottom="1440" w:gutter="0" w:footer="0" w:header="0"/>
        </w:sectPr>
      </w:pPr>
    </w:p>
    <w:bookmarkStart w:id="55" w:name="page56"/>
    <w:bookmarkEnd w:id="55"/>
    <w:p>
      <w:pPr>
        <w:ind w:left="4440"/>
        <w:spacing w:after="0"/>
        <w:rPr>
          <w:sz w:val="20"/>
          <w:szCs w:val="20"/>
          <w:color w:val="auto"/>
        </w:rPr>
      </w:pPr>
      <w:r>
        <w:rPr>
          <w:rFonts w:ascii="Times New Roman" w:cs="Times New Roman" w:eastAsia="Times New Roman" w:hAnsi="Times New Roman"/>
          <w:sz w:val="22"/>
          <w:szCs w:val="22"/>
          <w:b w:val="1"/>
          <w:bCs w:val="1"/>
          <w:color w:val="auto"/>
        </w:rPr>
        <w:t>Appendix A - Patent Rights</w:t>
      </w:r>
    </w:p>
    <w:p>
      <w:pPr>
        <w:spacing w:after="0" w:line="20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Patents and Patent Applications in the Patent Rights</w:t>
      </w:r>
    </w:p>
    <w:p>
      <w:pPr>
        <w:spacing w:after="0" w:line="20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Exhibit A- Part 1; No Field of Use Limitation</w:t>
      </w:r>
    </w:p>
    <w:p>
      <w:pPr>
        <w:spacing w:after="0" w:line="2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Exhibit A, Part 2-</w:t>
      </w:r>
    </w:p>
    <w:p>
      <w:pPr>
        <w:spacing w:after="0" w:line="1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1"/>
          <w:szCs w:val="21"/>
          <w:b w:val="1"/>
          <w:bCs w:val="1"/>
          <w:color w:val="auto"/>
        </w:rPr>
        <w:t>Field of Use limited to viral vector mediated delivery of gene therapy product.</w:t>
      </w:r>
    </w:p>
    <w:p>
      <w:pPr>
        <w:spacing w:after="0" w:line="19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80" w:right="2479"/>
        <w:spacing w:after="0" w:line="262" w:lineRule="auto"/>
        <w:rPr>
          <w:sz w:val="20"/>
          <w:szCs w:val="20"/>
          <w:color w:val="auto"/>
        </w:rPr>
      </w:pPr>
      <w:r>
        <w:rPr>
          <w:rFonts w:ascii="Times New Roman" w:cs="Times New Roman" w:eastAsia="Times New Roman" w:hAnsi="Times New Roman"/>
          <w:sz w:val="22"/>
          <w:szCs w:val="22"/>
          <w:b w:val="1"/>
          <w:bCs w:val="1"/>
          <w:color w:val="auto"/>
        </w:rPr>
        <w:t>Penn / Wilson Lab Know-How for the Familial Hypercholesterolemia and Onithine Transcarbamylase Deficiency (OTC) Programs</w:t>
      </w:r>
    </w:p>
    <w:p>
      <w:pPr>
        <w:spacing w:after="0" w:line="3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FH Know-How (associated with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u w:val="single" w:color="auto"/>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OTC Know-How (associated with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u w:val="single" w:color="auto"/>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219"/>
          </w:cols>
          <w:pgMar w:left="240" w:top="324"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10.3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ARE-MARYLAND NO. 24, LLC</w:t>
      </w:r>
    </w:p>
    <w:p>
      <w:pPr>
        <w:jc w:val="center"/>
        <w:spacing w:after="0"/>
        <w:rPr>
          <w:sz w:val="20"/>
          <w:szCs w:val="20"/>
          <w:color w:val="auto"/>
        </w:rPr>
      </w:pPr>
      <w:r>
        <w:rPr>
          <w:rFonts w:ascii="Arial" w:cs="Arial" w:eastAsia="Arial" w:hAnsi="Arial"/>
          <w:sz w:val="20"/>
          <w:szCs w:val="20"/>
          <w:color w:val="auto"/>
        </w:rPr>
        <w:t>c/o Alexandria Real Estate Equities, Inc.</w:t>
      </w:r>
    </w:p>
    <w:p>
      <w:pPr>
        <w:jc w:val="center"/>
        <w:spacing w:after="0" w:line="225" w:lineRule="auto"/>
        <w:rPr>
          <w:sz w:val="20"/>
          <w:szCs w:val="20"/>
          <w:color w:val="auto"/>
        </w:rPr>
      </w:pPr>
      <w:r>
        <w:rPr>
          <w:rFonts w:ascii="Arial" w:cs="Arial" w:eastAsia="Arial" w:hAnsi="Arial"/>
          <w:sz w:val="20"/>
          <w:szCs w:val="20"/>
          <w:color w:val="auto"/>
        </w:rPr>
        <w:t>385 E. Colorado Blvd., Suite 299</w:t>
      </w:r>
    </w:p>
    <w:p>
      <w:pPr>
        <w:jc w:val="center"/>
        <w:spacing w:after="0"/>
        <w:rPr>
          <w:sz w:val="20"/>
          <w:szCs w:val="20"/>
          <w:color w:val="auto"/>
        </w:rPr>
      </w:pPr>
      <w:r>
        <w:rPr>
          <w:rFonts w:ascii="Arial" w:cs="Arial" w:eastAsia="Arial" w:hAnsi="Arial"/>
          <w:sz w:val="20"/>
          <w:szCs w:val="20"/>
          <w:color w:val="auto"/>
        </w:rPr>
        <w:t>Pasadena, California 91101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April 12, 2019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REGENXBIO Inc.</w:t>
      </w:r>
    </w:p>
    <w:p>
      <w:pPr>
        <w:spacing w:after="0" w:line="238" w:lineRule="auto"/>
        <w:rPr>
          <w:sz w:val="20"/>
          <w:szCs w:val="20"/>
          <w:color w:val="auto"/>
        </w:rPr>
      </w:pPr>
      <w:r>
        <w:rPr>
          <w:rFonts w:ascii="Arial" w:cs="Arial" w:eastAsia="Arial" w:hAnsi="Arial"/>
          <w:sz w:val="20"/>
          <w:szCs w:val="20"/>
          <w:color w:val="auto"/>
        </w:rPr>
        <w:t>Attention: General Counsel</w:t>
      </w:r>
    </w:p>
    <w:p>
      <w:pPr>
        <w:spacing w:after="0" w:line="225" w:lineRule="auto"/>
        <w:rPr>
          <w:sz w:val="20"/>
          <w:szCs w:val="20"/>
          <w:color w:val="auto"/>
        </w:rPr>
      </w:pPr>
      <w:r>
        <w:rPr>
          <w:rFonts w:ascii="Arial" w:cs="Arial" w:eastAsia="Arial" w:hAnsi="Arial"/>
          <w:sz w:val="20"/>
          <w:szCs w:val="20"/>
          <w:color w:val="auto"/>
        </w:rPr>
        <w:t>9600 Blackwell Drive, Suite 210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Rockville, MD 20850</w:t>
      </w:r>
    </w:p>
    <w:p>
      <w:pPr>
        <w:spacing w:after="0" w:line="188" w:lineRule="exact"/>
        <w:rPr>
          <w:sz w:val="20"/>
          <w:szCs w:val="20"/>
          <w:color w:val="auto"/>
        </w:rPr>
      </w:pPr>
    </w:p>
    <w:p>
      <w:pPr>
        <w:ind w:left="1920"/>
        <w:spacing w:after="0"/>
        <w:tabs>
          <w:tab w:leader="none" w:pos="28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b w:val="1"/>
          <w:bCs w:val="1"/>
          <w:u w:val="single" w:color="auto"/>
          <w:color w:val="auto"/>
        </w:rPr>
        <w:t>9800 Medical Center Drive—Letter Agreement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To Whom It May Concern:</w:t>
      </w:r>
    </w:p>
    <w:p>
      <w:pPr>
        <w:spacing w:after="0" w:line="216" w:lineRule="exact"/>
        <w:rPr>
          <w:sz w:val="20"/>
          <w:szCs w:val="20"/>
          <w:color w:val="auto"/>
        </w:rPr>
      </w:pPr>
    </w:p>
    <w:p>
      <w:pPr>
        <w:jc w:val="both"/>
        <w:ind w:firstLine="950"/>
        <w:spacing w:after="0" w:line="239" w:lineRule="auto"/>
        <w:rPr>
          <w:sz w:val="20"/>
          <w:szCs w:val="20"/>
          <w:color w:val="auto"/>
        </w:rPr>
      </w:pPr>
      <w:r>
        <w:rPr>
          <w:rFonts w:ascii="Arial" w:cs="Arial" w:eastAsia="Arial" w:hAnsi="Arial"/>
          <w:sz w:val="20"/>
          <w:szCs w:val="20"/>
          <w:color w:val="auto"/>
        </w:rPr>
        <w:t>Reference is made to that certain Lease Agreement dated as of November 1, 2018 (“</w:t>
      </w:r>
      <w:r>
        <w:rPr>
          <w:rFonts w:ascii="Arial" w:cs="Arial" w:eastAsia="Arial" w:hAnsi="Arial"/>
          <w:sz w:val="20"/>
          <w:szCs w:val="20"/>
          <w:u w:val="single" w:color="auto"/>
          <w:color w:val="auto"/>
        </w:rPr>
        <w:t>Lease</w:t>
      </w:r>
      <w:r>
        <w:rPr>
          <w:rFonts w:ascii="Arial" w:cs="Arial" w:eastAsia="Arial" w:hAnsi="Arial"/>
          <w:sz w:val="20"/>
          <w:szCs w:val="20"/>
          <w:color w:val="auto"/>
        </w:rPr>
        <w:t>”) between REGENXBIO Inc., a Delaware corporation, as tenant (“</w:t>
      </w:r>
      <w:r>
        <w:rPr>
          <w:rFonts w:ascii="Arial" w:cs="Arial" w:eastAsia="Arial" w:hAnsi="Arial"/>
          <w:sz w:val="20"/>
          <w:szCs w:val="20"/>
          <w:u w:val="single" w:color="auto"/>
          <w:color w:val="auto"/>
        </w:rPr>
        <w:t>Tenant</w:t>
      </w:r>
      <w:r>
        <w:rPr>
          <w:rFonts w:ascii="Arial" w:cs="Arial" w:eastAsia="Arial" w:hAnsi="Arial"/>
          <w:sz w:val="20"/>
          <w:szCs w:val="20"/>
          <w:color w:val="auto"/>
        </w:rPr>
        <w:t>”), and ARE-Maryland No. 24, LLC, a Delaware limited liability company, as landlord (“</w:t>
      </w:r>
      <w:r>
        <w:rPr>
          <w:rFonts w:ascii="Arial" w:cs="Arial" w:eastAsia="Arial" w:hAnsi="Arial"/>
          <w:sz w:val="20"/>
          <w:szCs w:val="20"/>
          <w:u w:val="single" w:color="auto"/>
          <w:color w:val="auto"/>
        </w:rPr>
        <w:t>Landlord</w:t>
      </w:r>
      <w:r>
        <w:rPr>
          <w:rFonts w:ascii="Arial" w:cs="Arial" w:eastAsia="Arial" w:hAnsi="Arial"/>
          <w:sz w:val="20"/>
          <w:szCs w:val="20"/>
          <w:color w:val="auto"/>
        </w:rPr>
        <w:t>”). Initially capitalized terms not specifically defined in this letter agreement are intended to have the meanings set forth for such terms in the Lease.</w:t>
      </w:r>
    </w:p>
    <w:p>
      <w:pPr>
        <w:spacing w:after="0" w:line="178" w:lineRule="exact"/>
        <w:rPr>
          <w:sz w:val="20"/>
          <w:szCs w:val="20"/>
          <w:color w:val="auto"/>
        </w:rPr>
      </w:pPr>
    </w:p>
    <w:p>
      <w:pPr>
        <w:jc w:val="both"/>
        <w:ind w:firstLine="950"/>
        <w:spacing w:after="0" w:line="245" w:lineRule="auto"/>
        <w:rPr>
          <w:sz w:val="20"/>
          <w:szCs w:val="20"/>
          <w:color w:val="auto"/>
        </w:rPr>
      </w:pPr>
      <w:r>
        <w:rPr>
          <w:rFonts w:ascii="Arial" w:cs="Arial" w:eastAsia="Arial" w:hAnsi="Arial"/>
          <w:sz w:val="20"/>
          <w:szCs w:val="20"/>
          <w:color w:val="auto"/>
        </w:rPr>
        <w:t xml:space="preserve">Pursuant to Section 2.e of Exhibit C-1 to the Lease, Tenant has requested certain Material Changes to the Base Building Work. The Material Changes, as more fully described or shown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consist of the following and are hereinafter collectively referred to in this letter agreement as the “</w:t>
      </w:r>
      <w:r>
        <w:rPr>
          <w:rFonts w:ascii="Arial" w:cs="Arial" w:eastAsia="Arial" w:hAnsi="Arial"/>
          <w:sz w:val="20"/>
          <w:szCs w:val="20"/>
          <w:u w:val="single" w:color="auto"/>
          <w:color w:val="auto"/>
        </w:rPr>
        <w:t>February 2019 Material Changes</w:t>
      </w:r>
      <w:r>
        <w:rPr>
          <w:rFonts w:ascii="Arial" w:cs="Arial" w:eastAsia="Arial" w:hAnsi="Arial"/>
          <w:sz w:val="20"/>
          <w:szCs w:val="20"/>
          <w:color w:val="auto"/>
        </w:rPr>
        <w:t>”):</w:t>
      </w:r>
    </w:p>
    <w:p>
      <w:pPr>
        <w:spacing w:after="0" w:line="174" w:lineRule="exact"/>
        <w:rPr>
          <w:sz w:val="20"/>
          <w:szCs w:val="20"/>
          <w:color w:val="auto"/>
        </w:rPr>
      </w:pPr>
    </w:p>
    <w:p>
      <w:pPr>
        <w:ind w:left="2380" w:hanging="481"/>
        <w:spacing w:after="0"/>
        <w:tabs>
          <w:tab w:leader="none" w:pos="238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Modifications to X bracing</w:t>
      </w:r>
    </w:p>
    <w:p>
      <w:pPr>
        <w:spacing w:after="0" w:line="24" w:lineRule="exact"/>
        <w:rPr>
          <w:rFonts w:ascii="Times New Roman" w:cs="Times New Roman" w:eastAsia="Times New Roman" w:hAnsi="Times New Roman"/>
          <w:sz w:val="20"/>
          <w:szCs w:val="20"/>
          <w:color w:val="auto"/>
        </w:rPr>
      </w:pPr>
    </w:p>
    <w:p>
      <w:pPr>
        <w:ind w:left="2380" w:hanging="481"/>
        <w:spacing w:after="0" w:line="238" w:lineRule="auto"/>
        <w:tabs>
          <w:tab w:leader="none" w:pos="238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Relocate N Stairwell</w:t>
      </w:r>
    </w:p>
    <w:p>
      <w:pPr>
        <w:ind w:left="2380" w:hanging="481"/>
        <w:spacing w:after="0" w:line="238" w:lineRule="auto"/>
        <w:tabs>
          <w:tab w:leader="none" w:pos="238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Reposition service elevator and add second dedicated service elevator</w:t>
      </w:r>
    </w:p>
    <w:p>
      <w:pPr>
        <w:ind w:left="2380" w:hanging="481"/>
        <w:spacing w:after="0" w:line="238" w:lineRule="auto"/>
        <w:tabs>
          <w:tab w:leader="none" w:pos="238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Increase 5</w:t>
      </w:r>
      <w:r>
        <w:rPr>
          <w:rFonts w:ascii="Arial" w:cs="Arial" w:eastAsia="Arial" w:hAnsi="Arial"/>
          <w:sz w:val="16"/>
          <w:szCs w:val="16"/>
          <w:color w:val="auto"/>
        </w:rPr>
        <w:t>th</w:t>
      </w:r>
      <w:r>
        <w:rPr>
          <w:rFonts w:ascii="Arial" w:cs="Arial" w:eastAsia="Arial" w:hAnsi="Arial"/>
          <w:sz w:val="20"/>
          <w:szCs w:val="20"/>
          <w:color w:val="auto"/>
        </w:rPr>
        <w:t xml:space="preserve"> floor in height (not greater than 3’)</w:t>
      </w:r>
    </w:p>
    <w:p>
      <w:pPr>
        <w:ind w:left="2380" w:hanging="481"/>
        <w:spacing w:after="0" w:line="238" w:lineRule="auto"/>
        <w:tabs>
          <w:tab w:leader="none" w:pos="238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Increase 5</w:t>
      </w:r>
      <w:r>
        <w:rPr>
          <w:rFonts w:ascii="Arial" w:cs="Arial" w:eastAsia="Arial" w:hAnsi="Arial"/>
          <w:sz w:val="16"/>
          <w:szCs w:val="16"/>
          <w:color w:val="auto"/>
        </w:rPr>
        <w:t>th</w:t>
      </w:r>
      <w:r>
        <w:rPr>
          <w:rFonts w:ascii="Arial" w:cs="Arial" w:eastAsia="Arial" w:hAnsi="Arial"/>
          <w:sz w:val="20"/>
          <w:szCs w:val="20"/>
          <w:color w:val="auto"/>
        </w:rPr>
        <w:t xml:space="preserve"> floor load to 125 lbs/sf</w:t>
      </w:r>
    </w:p>
    <w:p>
      <w:pPr>
        <w:ind w:left="2380" w:hanging="481"/>
        <w:spacing w:after="0"/>
        <w:tabs>
          <w:tab w:leader="none" w:pos="238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Future Penthouse / Roof Screening and Structure</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For clarity, it is agreed and understood that the aforesaid second dedicated service elevator and Future Penthouse / Roof Screening and Structure shall be reserved for Tenant’s exclusive use.</w:t>
      </w:r>
    </w:p>
    <w:p>
      <w:pPr>
        <w:spacing w:after="0" w:line="152" w:lineRule="exact"/>
        <w:rPr>
          <w:sz w:val="20"/>
          <w:szCs w:val="20"/>
          <w:color w:val="auto"/>
        </w:rPr>
      </w:pPr>
    </w:p>
    <w:p>
      <w:pPr>
        <w:jc w:val="both"/>
        <w:ind w:firstLine="950"/>
        <w:spacing w:after="0" w:line="245" w:lineRule="auto"/>
        <w:rPr>
          <w:sz w:val="20"/>
          <w:szCs w:val="20"/>
          <w:color w:val="auto"/>
        </w:rPr>
      </w:pPr>
      <w:r>
        <w:rPr>
          <w:rFonts w:ascii="Arial" w:cs="Arial" w:eastAsia="Arial" w:hAnsi="Arial"/>
          <w:sz w:val="20"/>
          <w:szCs w:val="20"/>
          <w:color w:val="auto"/>
        </w:rPr>
        <w:t>Pursuant to Section 2.e of Exhibit C-1 to the Lease, Landlord hereby agrees to implement the February 2019 Material Changes. This letter agreement is intended to supplement the applicable terms and conditions of the Lease as to the manner in which the February 2019 Material Changes shall be implemented,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REGENXBIO Inc.</w:t>
      </w:r>
    </w:p>
    <w:p>
      <w:pPr>
        <w:spacing w:after="0" w:line="238" w:lineRule="auto"/>
        <w:rPr>
          <w:sz w:val="20"/>
          <w:szCs w:val="20"/>
          <w:color w:val="auto"/>
        </w:rPr>
      </w:pPr>
      <w:r>
        <w:rPr>
          <w:rFonts w:ascii="Arial" w:cs="Arial" w:eastAsia="Arial" w:hAnsi="Arial"/>
          <w:sz w:val="20"/>
          <w:szCs w:val="20"/>
          <w:color w:val="auto"/>
        </w:rPr>
        <w:t>April 12, 2019</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19" w:lineRule="exact"/>
        <w:rPr>
          <w:sz w:val="20"/>
          <w:szCs w:val="20"/>
          <w:color w:val="auto"/>
        </w:rPr>
      </w:pPr>
    </w:p>
    <w:p>
      <w:pPr>
        <w:jc w:val="both"/>
        <w:ind w:firstLine="958"/>
        <w:spacing w:after="0" w:line="239" w:lineRule="auto"/>
        <w:tabs>
          <w:tab w:leader="none" w:pos="1764"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Material Change Payment</w:t>
      </w:r>
      <w:r>
        <w:rPr>
          <w:rFonts w:ascii="Arial" w:cs="Arial" w:eastAsia="Arial" w:hAnsi="Arial"/>
          <w:sz w:val="20"/>
          <w:szCs w:val="20"/>
          <w:color w:val="auto"/>
        </w:rPr>
        <w:t>. Within 30 days after the date of this letter agreement, Tenant shall pay to Landlord as Additional Rent an amount equal to $3,975,000 (“</w:t>
      </w:r>
      <w:r>
        <w:rPr>
          <w:rFonts w:ascii="Arial" w:cs="Arial" w:eastAsia="Arial" w:hAnsi="Arial"/>
          <w:sz w:val="20"/>
          <w:szCs w:val="20"/>
          <w:u w:val="single" w:color="auto"/>
          <w:color w:val="auto"/>
        </w:rPr>
        <w:t>Material Change Payment</w:t>
      </w:r>
      <w:r>
        <w:rPr>
          <w:rFonts w:ascii="Arial" w:cs="Arial" w:eastAsia="Arial" w:hAnsi="Arial"/>
          <w:sz w:val="20"/>
          <w:szCs w:val="20"/>
          <w:color w:val="auto"/>
        </w:rPr>
        <w:t>”). Tenant shall pay the Material Change Payment to Landlord by means of a wire transfer of immediately available federal funds to the Address for Rent Payment. The Material Change Payment consists of the following elements:</w:t>
      </w:r>
    </w:p>
    <w:p>
      <w:pPr>
        <w:spacing w:after="0" w:line="178" w:lineRule="exact"/>
        <w:rPr>
          <w:sz w:val="20"/>
          <w:szCs w:val="20"/>
          <w:color w:val="auto"/>
        </w:rPr>
      </w:pPr>
    </w:p>
    <w:p>
      <w:pPr>
        <w:jc w:val="both"/>
        <w:ind w:left="2380" w:hanging="472"/>
        <w:spacing w:after="0" w:line="245" w:lineRule="auto"/>
        <w:tabs>
          <w:tab w:leader="none" w:pos="2360" w:val="left"/>
        </w:tabs>
        <w:rPr>
          <w:sz w:val="20"/>
          <w:szCs w:val="20"/>
          <w:color w:val="auto"/>
        </w:rPr>
      </w:pPr>
      <w:r>
        <w:rPr>
          <w:rFonts w:ascii="Arial" w:cs="Arial" w:eastAsia="Arial" w:hAnsi="Arial"/>
          <w:sz w:val="20"/>
          <w:szCs w:val="20"/>
          <w:color w:val="auto"/>
        </w:rPr>
        <w:t>1.1</w:t>
        <w:tab/>
        <w:t>An amount equal to $1,050,000 (“</w:t>
      </w:r>
      <w:r>
        <w:rPr>
          <w:rFonts w:ascii="Arial" w:cs="Arial" w:eastAsia="Arial" w:hAnsi="Arial"/>
          <w:sz w:val="20"/>
          <w:szCs w:val="20"/>
          <w:u w:val="single" w:color="auto"/>
          <w:color w:val="auto"/>
        </w:rPr>
        <w:t>Estimated Delay Cost</w:t>
      </w:r>
      <w:r>
        <w:rPr>
          <w:rFonts w:ascii="Arial" w:cs="Arial" w:eastAsia="Arial" w:hAnsi="Arial"/>
          <w:sz w:val="20"/>
          <w:szCs w:val="20"/>
          <w:color w:val="auto"/>
        </w:rPr>
        <w:t>”), which is the product of $ 350,000 multiplied by 3 months, which is the estimated period of Tenant Delay that will result from the implementation of the February 2019 Material Changes.</w:t>
      </w:r>
    </w:p>
    <w:p>
      <w:pPr>
        <w:spacing w:after="0" w:line="174" w:lineRule="exact"/>
        <w:rPr>
          <w:sz w:val="20"/>
          <w:szCs w:val="20"/>
          <w:color w:val="auto"/>
        </w:rPr>
      </w:pPr>
    </w:p>
    <w:p>
      <w:pPr>
        <w:jc w:val="both"/>
        <w:ind w:left="2380" w:right="20" w:hanging="472"/>
        <w:spacing w:after="0" w:line="266" w:lineRule="auto"/>
        <w:tabs>
          <w:tab w:leader="none" w:pos="2360" w:val="left"/>
        </w:tabs>
        <w:rPr>
          <w:sz w:val="20"/>
          <w:szCs w:val="20"/>
          <w:color w:val="auto"/>
        </w:rPr>
      </w:pPr>
      <w:r>
        <w:rPr>
          <w:rFonts w:ascii="Arial" w:cs="Arial" w:eastAsia="Arial" w:hAnsi="Arial"/>
          <w:sz w:val="20"/>
          <w:szCs w:val="20"/>
          <w:color w:val="auto"/>
        </w:rPr>
        <w:t>1.2</w:t>
        <w:tab/>
        <w:t>An amount equal to $2,600,000 (“</w:t>
      </w:r>
      <w:r>
        <w:rPr>
          <w:rFonts w:ascii="Arial" w:cs="Arial" w:eastAsia="Arial" w:hAnsi="Arial"/>
          <w:sz w:val="20"/>
          <w:szCs w:val="20"/>
          <w:u w:val="single" w:color="auto"/>
          <w:color w:val="auto"/>
        </w:rPr>
        <w:t>Estimated Construction Cost</w:t>
      </w:r>
      <w:r>
        <w:rPr>
          <w:rFonts w:ascii="Arial" w:cs="Arial" w:eastAsia="Arial" w:hAnsi="Arial"/>
          <w:sz w:val="20"/>
          <w:szCs w:val="20"/>
          <w:color w:val="auto"/>
        </w:rPr>
        <w:t>”), which is the estimated cost Landlord will incur to implement the February 2019 Material Changes.</w:t>
      </w:r>
    </w:p>
    <w:p>
      <w:pPr>
        <w:spacing w:after="0" w:line="152" w:lineRule="exact"/>
        <w:rPr>
          <w:sz w:val="20"/>
          <w:szCs w:val="20"/>
          <w:color w:val="auto"/>
        </w:rPr>
      </w:pPr>
    </w:p>
    <w:p>
      <w:pPr>
        <w:jc w:val="both"/>
        <w:ind w:left="2380" w:hanging="472"/>
        <w:spacing w:after="0" w:line="266" w:lineRule="auto"/>
        <w:tabs>
          <w:tab w:leader="none" w:pos="2360" w:val="left"/>
        </w:tabs>
        <w:rPr>
          <w:sz w:val="20"/>
          <w:szCs w:val="20"/>
          <w:color w:val="auto"/>
        </w:rPr>
      </w:pPr>
      <w:r>
        <w:rPr>
          <w:rFonts w:ascii="Arial" w:cs="Arial" w:eastAsia="Arial" w:hAnsi="Arial"/>
          <w:sz w:val="20"/>
          <w:szCs w:val="20"/>
          <w:color w:val="auto"/>
        </w:rPr>
        <w:t>1.3</w:t>
        <w:tab/>
        <w:t>An amount equal to $ 325,000 (“</w:t>
      </w:r>
      <w:r>
        <w:rPr>
          <w:rFonts w:ascii="Arial" w:cs="Arial" w:eastAsia="Arial" w:hAnsi="Arial"/>
          <w:sz w:val="20"/>
          <w:szCs w:val="20"/>
          <w:u w:val="single" w:color="auto"/>
          <w:color w:val="auto"/>
        </w:rPr>
        <w:t>Management Fee</w:t>
      </w:r>
      <w:r>
        <w:rPr>
          <w:rFonts w:ascii="Arial" w:cs="Arial" w:eastAsia="Arial" w:hAnsi="Arial"/>
          <w:sz w:val="20"/>
          <w:szCs w:val="20"/>
          <w:color w:val="auto"/>
        </w:rPr>
        <w:t>”), which represents Landlord’s management fee for the implementation of the February 2019 Material Changes.</w:t>
      </w:r>
    </w:p>
    <w:p>
      <w:pPr>
        <w:spacing w:after="0" w:line="152" w:lineRule="exact"/>
        <w:rPr>
          <w:sz w:val="20"/>
          <w:szCs w:val="20"/>
          <w:color w:val="auto"/>
        </w:rPr>
      </w:pPr>
    </w:p>
    <w:p>
      <w:pPr>
        <w:jc w:val="both"/>
        <w:ind w:firstLine="958"/>
        <w:spacing w:after="0" w:line="229" w:lineRule="auto"/>
        <w:tabs>
          <w:tab w:leader="none" w:pos="1764"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Reconciliation of Material Change Payment</w:t>
      </w:r>
      <w:r>
        <w:rPr>
          <w:rFonts w:ascii="Arial" w:cs="Arial" w:eastAsia="Arial" w:hAnsi="Arial"/>
          <w:sz w:val="20"/>
          <w:szCs w:val="20"/>
          <w:color w:val="auto"/>
        </w:rPr>
        <w:t>. Within a reasonable period of time (not to exceed 60 days) after Substantial Completion of the Base Building Work, Landlord will determine (a) the actual Delay Cost (“</w:t>
      </w:r>
      <w:r>
        <w:rPr>
          <w:rFonts w:ascii="Arial" w:cs="Arial" w:eastAsia="Arial" w:hAnsi="Arial"/>
          <w:sz w:val="20"/>
          <w:szCs w:val="20"/>
          <w:u w:val="single" w:color="auto"/>
          <w:color w:val="auto"/>
        </w:rPr>
        <w:t>Actual Delay Cost</w:t>
      </w:r>
      <w:r>
        <w:rPr>
          <w:rFonts w:ascii="Arial" w:cs="Arial" w:eastAsia="Arial" w:hAnsi="Arial"/>
          <w:sz w:val="20"/>
          <w:szCs w:val="20"/>
          <w:color w:val="auto"/>
        </w:rPr>
        <w:t xml:space="preserve">”) based on the actual period of Tenant Delay caused by the implementation of the February 2019 Material Changes (as certified by the Base Building Architect pursuant to Section 3.d of the Landlord Work Letter attached to the Lease as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w:t>
      </w:r>
      <w:r>
        <w:rPr>
          <w:rFonts w:ascii="Arial" w:cs="Arial" w:eastAsia="Arial" w:hAnsi="Arial"/>
          <w:sz w:val="20"/>
          <w:szCs w:val="20"/>
          <w:u w:val="single" w:color="auto"/>
          <w:color w:val="auto"/>
        </w:rPr>
        <w:t>Actual Tenant</w:t>
      </w:r>
      <w:r>
        <w:rPr>
          <w:rFonts w:ascii="Arial" w:cs="Arial" w:eastAsia="Arial" w:hAnsi="Arial"/>
          <w:sz w:val="20"/>
          <w:szCs w:val="20"/>
          <w:color w:val="auto"/>
        </w:rPr>
        <w:t xml:space="preserve"> </w:t>
      </w:r>
      <w:r>
        <w:rPr>
          <w:rFonts w:ascii="Arial" w:cs="Arial" w:eastAsia="Arial" w:hAnsi="Arial"/>
          <w:sz w:val="20"/>
          <w:szCs w:val="20"/>
          <w:u w:val="single" w:color="auto"/>
          <w:color w:val="auto"/>
        </w:rPr>
        <w:t>Delay</w:t>
      </w:r>
      <w:r>
        <w:rPr>
          <w:rFonts w:ascii="Arial" w:cs="Arial" w:eastAsia="Arial" w:hAnsi="Arial"/>
          <w:sz w:val="20"/>
          <w:szCs w:val="20"/>
          <w:color w:val="auto"/>
        </w:rPr>
        <w:t>”), and based on $350,000 per month, prorated on a daily basis based on the actual number of calendar days of Tenant Delay), and (b) the actual Construction Cost (“</w:t>
      </w:r>
      <w:r>
        <w:rPr>
          <w:rFonts w:ascii="Arial" w:cs="Arial" w:eastAsia="Arial" w:hAnsi="Arial"/>
          <w:sz w:val="20"/>
          <w:szCs w:val="20"/>
          <w:u w:val="single" w:color="auto"/>
          <w:color w:val="auto"/>
        </w:rPr>
        <w:t>Actual Construction Cost</w:t>
      </w:r>
      <w:r>
        <w:rPr>
          <w:rFonts w:ascii="Arial" w:cs="Arial" w:eastAsia="Arial" w:hAnsi="Arial"/>
          <w:sz w:val="20"/>
          <w:szCs w:val="20"/>
          <w:color w:val="auto"/>
        </w:rPr>
        <w:t>”) incurred by Landlord to implement the February 2019 Material Changes. Landlord shall communicate that determination to Tenant by means of a reconciliation statement (“</w:t>
      </w:r>
      <w:r>
        <w:rPr>
          <w:rFonts w:ascii="Arial" w:cs="Arial" w:eastAsia="Arial" w:hAnsi="Arial"/>
          <w:sz w:val="20"/>
          <w:szCs w:val="20"/>
          <w:u w:val="single" w:color="auto"/>
          <w:color w:val="auto"/>
        </w:rPr>
        <w:t>Reconciliation Statement</w:t>
      </w:r>
      <w:r>
        <w:rPr>
          <w:rFonts w:ascii="Arial" w:cs="Arial" w:eastAsia="Arial" w:hAnsi="Arial"/>
          <w:sz w:val="20"/>
          <w:szCs w:val="20"/>
          <w:color w:val="auto"/>
        </w:rPr>
        <w:t>”). The Reconciliation Statement shall state whether any adjustments need to be made to the Material Change Payment and, if so, the Reconciliation Statement shall be accompanied by reasonably detailed documentation in support of such determination. If the Estimated Delay Cost or Estimated Construction Cost, or both, exceeded the Actual Delay Cost or the Actual Construction Cost, or both, Landlord shall pay the excess to Tenant within 30 days after the date of the Reconciliation Statement. If the Estimated Delay Cost or the Estimated Construction Cost, or both, were less than the Actual Delay Cost or the Actual Construction Cost, or both, Tenant shall pay the deficiency to Landlord as Additional Rent within 30 days after the date of the Reconciliation Statement. At Tenant’s request, Landlord shall make available to Tenant, on an open book basis, the documentation in support of the Reconciliation Statement.</w:t>
      </w:r>
    </w:p>
    <w:p>
      <w:pPr>
        <w:spacing w:after="0" w:line="179" w:lineRule="exact"/>
        <w:rPr>
          <w:rFonts w:ascii="Arial" w:cs="Arial" w:eastAsia="Arial" w:hAnsi="Arial"/>
          <w:sz w:val="20"/>
          <w:szCs w:val="20"/>
          <w:color w:val="auto"/>
        </w:rPr>
      </w:pPr>
    </w:p>
    <w:p>
      <w:pPr>
        <w:ind w:left="1780" w:hanging="822"/>
        <w:spacing w:after="0"/>
        <w:tabs>
          <w:tab w:leader="none" w:pos="178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Impact on Dates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02"/>
        <w:spacing w:after="0" w:line="239"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Estimated and Actual Tenant Delay</w:t>
      </w:r>
      <w:r>
        <w:rPr>
          <w:rFonts w:ascii="Arial" w:cs="Arial" w:eastAsia="Arial" w:hAnsi="Arial"/>
          <w:sz w:val="20"/>
          <w:szCs w:val="20"/>
          <w:color w:val="auto"/>
        </w:rPr>
        <w:t>. It is agreed by Landlord and Tenant that the estimated period of Tenant Delay that will result from the implementation of the February 2019 Material Changes is three (3) months (“</w:t>
      </w:r>
      <w:r>
        <w:rPr>
          <w:rFonts w:ascii="Arial" w:cs="Arial" w:eastAsia="Arial" w:hAnsi="Arial"/>
          <w:sz w:val="20"/>
          <w:szCs w:val="20"/>
          <w:u w:val="single" w:color="auto"/>
          <w:color w:val="auto"/>
        </w:rPr>
        <w:t>Estimated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Tenant Delay</w:t>
      </w:r>
      <w:r>
        <w:rPr>
          <w:rFonts w:ascii="Arial" w:cs="Arial" w:eastAsia="Arial" w:hAnsi="Arial"/>
          <w:sz w:val="20"/>
          <w:szCs w:val="20"/>
          <w:color w:val="auto"/>
        </w:rPr>
        <w:t>”). Within a reasonable period of time (not to exceed 60 days) after Substantial Completion of the Base Building Work, Landlord shall cause the Base Building Architect to certify the Actual Tenant Delay.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22215181-v8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58" w:name="page59"/>
    <w:bookmarkEnd w:id="58"/>
    <w:p>
      <w:pPr>
        <w:spacing w:after="0"/>
        <w:rPr>
          <w:sz w:val="20"/>
          <w:szCs w:val="20"/>
          <w:color w:val="auto"/>
        </w:rPr>
      </w:pPr>
      <w:r>
        <w:rPr>
          <w:rFonts w:ascii="Arial" w:cs="Arial" w:eastAsia="Arial" w:hAnsi="Arial"/>
          <w:sz w:val="20"/>
          <w:szCs w:val="20"/>
          <w:color w:val="auto"/>
        </w:rPr>
        <w:t>REGENXBIO Inc.</w:t>
      </w:r>
    </w:p>
    <w:p>
      <w:pPr>
        <w:spacing w:after="0" w:line="238" w:lineRule="auto"/>
        <w:rPr>
          <w:sz w:val="20"/>
          <w:szCs w:val="20"/>
          <w:color w:val="auto"/>
        </w:rPr>
      </w:pPr>
      <w:r>
        <w:rPr>
          <w:rFonts w:ascii="Arial" w:cs="Arial" w:eastAsia="Arial" w:hAnsi="Arial"/>
          <w:sz w:val="20"/>
          <w:szCs w:val="20"/>
          <w:color w:val="auto"/>
        </w:rPr>
        <w:t>April 12, 2019</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19" w:lineRule="exact"/>
        <w:rPr>
          <w:sz w:val="20"/>
          <w:szCs w:val="20"/>
          <w:color w:val="auto"/>
        </w:rPr>
      </w:pPr>
    </w:p>
    <w:p>
      <w:pPr>
        <w:jc w:val="both"/>
        <w:ind w:firstLine="1910"/>
        <w:spacing w:after="0" w:line="234" w:lineRule="auto"/>
        <w:tabs>
          <w:tab w:leader="none" w:pos="2716" w:val="left"/>
        </w:tabs>
        <w:numPr>
          <w:ilvl w:val="2"/>
          <w:numId w:val="40"/>
        </w:numPr>
        <w:rPr>
          <w:rFonts w:ascii="Arial" w:cs="Arial" w:eastAsia="Arial" w:hAnsi="Arial"/>
          <w:sz w:val="20"/>
          <w:szCs w:val="20"/>
          <w:color w:val="auto"/>
        </w:rPr>
      </w:pPr>
      <w:r>
        <w:rPr>
          <w:rFonts w:ascii="Arial" w:cs="Arial" w:eastAsia="Arial" w:hAnsi="Arial"/>
          <w:sz w:val="20"/>
          <w:szCs w:val="20"/>
          <w:u w:val="single" w:color="auto"/>
          <w:color w:val="auto"/>
        </w:rPr>
        <w:t>Amended Rider 1</w:t>
      </w:r>
      <w:r>
        <w:rPr>
          <w:rFonts w:ascii="Arial" w:cs="Arial" w:eastAsia="Arial" w:hAnsi="Arial"/>
          <w:sz w:val="20"/>
          <w:szCs w:val="20"/>
          <w:color w:val="auto"/>
        </w:rPr>
        <w:t xml:space="preserve">. Rider 1 to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of the Lease is hereby amended by replacing that Rider with Rider 1 attached hereto as Rider 1. In connection with the amendments to Rider 1 to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of the Lease, (i) the phrase in Section 2(1) of the Lease stating “April 30, 2019 (such 270 day period ends on Saturday, January 25, 2020)” is hereby deleted and replaced with the following phrase: “July 31, 2019 (such 270 day period ends on Sunday, April 26, 2020)”, and (ii) the phrase in Section 2(2) of the Lease stating “March 31, 2020 (such 270 day period ends on Saturday, December 26, 2020)” is hereby deleted and replaced with the following phrase: “June 30, 2020 (such 270 day period ends on Saturday, March 27, 2021)”.</w:t>
      </w:r>
    </w:p>
    <w:p>
      <w:pPr>
        <w:spacing w:after="0" w:line="180" w:lineRule="exact"/>
        <w:rPr>
          <w:rFonts w:ascii="Arial" w:cs="Arial" w:eastAsia="Arial" w:hAnsi="Arial"/>
          <w:sz w:val="20"/>
          <w:szCs w:val="20"/>
          <w:color w:val="auto"/>
        </w:rPr>
      </w:pPr>
    </w:p>
    <w:p>
      <w:pPr>
        <w:jc w:val="both"/>
        <w:ind w:firstLine="1910"/>
        <w:spacing w:after="0" w:line="231" w:lineRule="auto"/>
        <w:tabs>
          <w:tab w:leader="none" w:pos="2704" w:val="left"/>
        </w:tabs>
        <w:numPr>
          <w:ilvl w:val="2"/>
          <w:numId w:val="40"/>
        </w:numPr>
        <w:rPr>
          <w:rFonts w:ascii="Arial" w:cs="Arial" w:eastAsia="Arial" w:hAnsi="Arial"/>
          <w:sz w:val="20"/>
          <w:szCs w:val="20"/>
          <w:color w:val="auto"/>
        </w:rPr>
      </w:pPr>
      <w:r>
        <w:rPr>
          <w:rFonts w:ascii="Arial" w:cs="Arial" w:eastAsia="Arial" w:hAnsi="Arial"/>
          <w:sz w:val="20"/>
          <w:szCs w:val="20"/>
          <w:u w:val="single" w:color="auto"/>
          <w:color w:val="auto"/>
        </w:rPr>
        <w:t>Lease Commencement Date and Rent Commencement Dates</w:t>
      </w:r>
      <w:r>
        <w:rPr>
          <w:rFonts w:ascii="Arial" w:cs="Arial" w:eastAsia="Arial" w:hAnsi="Arial"/>
          <w:sz w:val="20"/>
          <w:szCs w:val="20"/>
          <w:color w:val="auto"/>
        </w:rPr>
        <w:t>. Landlord and Tenant agree that (i) the period of Actual Tenant Delay shall not affect the Lease Commencement Date, (ii) the Lease Commencement Date shall not be extended for any period of Actual Tenant Delay, and (iii) the Lease Commencement Date shall be determined as if there were no period of Actual Tenant Delay. To illustrate the operation of this provision, assume that June 30, 2020 is the projected Lease Commencement Date and that no Tenant Delay (other than the Actual Tenant Delay) or Force Majeure Delay has occurred. Based on these assumptions and notwithstanding any period of Actual Tenant Delay, the Lease Commencement Date shall be deemed to occur on June 30, 2020 and the Rent Commencement Date and the 4</w:t>
      </w:r>
      <w:r>
        <w:rPr>
          <w:rFonts w:ascii="Arial" w:cs="Arial" w:eastAsia="Arial" w:hAnsi="Arial"/>
          <w:sz w:val="16"/>
          <w:szCs w:val="16"/>
          <w:color w:val="auto"/>
        </w:rPr>
        <w:t>th</w:t>
      </w:r>
      <w:r>
        <w:rPr>
          <w:rFonts w:ascii="Arial" w:cs="Arial" w:eastAsia="Arial" w:hAnsi="Arial"/>
          <w:sz w:val="20"/>
          <w:szCs w:val="20"/>
          <w:color w:val="auto"/>
        </w:rPr>
        <w:t xml:space="preserve"> Floor Rent Commencement Date shall be determined based on the Lease Commencement Date occurring on June 30, 2020. Except as provided in this paragraph, the Lease Commencement Date shall be subject to extension for Tenant Delay or Force Majeure Delay subject to the terms and conditions set forth in the Lease.</w:t>
      </w:r>
    </w:p>
    <w:p>
      <w:pPr>
        <w:spacing w:after="0" w:line="176" w:lineRule="exact"/>
        <w:rPr>
          <w:rFonts w:ascii="Arial" w:cs="Arial" w:eastAsia="Arial" w:hAnsi="Arial"/>
          <w:sz w:val="20"/>
          <w:szCs w:val="20"/>
          <w:color w:val="auto"/>
        </w:rPr>
      </w:pPr>
    </w:p>
    <w:p>
      <w:pPr>
        <w:jc w:val="both"/>
        <w:ind w:right="20" w:firstLine="1910"/>
        <w:spacing w:after="0" w:line="234" w:lineRule="auto"/>
        <w:tabs>
          <w:tab w:leader="none" w:pos="2716" w:val="left"/>
        </w:tabs>
        <w:numPr>
          <w:ilvl w:val="2"/>
          <w:numId w:val="40"/>
        </w:numPr>
        <w:rPr>
          <w:rFonts w:ascii="Arial" w:cs="Arial" w:eastAsia="Arial" w:hAnsi="Arial"/>
          <w:sz w:val="20"/>
          <w:szCs w:val="20"/>
          <w:color w:val="auto"/>
        </w:rPr>
      </w:pPr>
      <w:r>
        <w:rPr>
          <w:rFonts w:ascii="Arial" w:cs="Arial" w:eastAsia="Arial" w:hAnsi="Arial"/>
          <w:sz w:val="20"/>
          <w:szCs w:val="20"/>
          <w:u w:val="single" w:color="auto"/>
          <w:color w:val="auto"/>
        </w:rPr>
        <w:t>Target Commencement Date</w:t>
      </w:r>
      <w:r>
        <w:rPr>
          <w:rFonts w:ascii="Arial" w:cs="Arial" w:eastAsia="Arial" w:hAnsi="Arial"/>
          <w:sz w:val="20"/>
          <w:szCs w:val="20"/>
          <w:color w:val="auto"/>
        </w:rPr>
        <w:t>. In light of the Estimated Tenant Delay, (i) the references to “Target Commencement Date” in the first paragraph of Section 2 of the Lease (relating to a termination right in favor of Tenant) and in Section 2(2)(a) of the Lease (relating to the Per Diem Credit) shall initially mean October 1, 2020 (rather than July 1, 2020), and</w:t>
      </w:r>
    </w:p>
    <w:p>
      <w:pPr>
        <w:spacing w:after="0" w:line="1" w:lineRule="exact"/>
        <w:rPr>
          <w:rFonts w:ascii="Arial" w:cs="Arial" w:eastAsia="Arial" w:hAnsi="Arial"/>
          <w:sz w:val="20"/>
          <w:szCs w:val="20"/>
          <w:color w:val="auto"/>
        </w:rPr>
      </w:pPr>
    </w:p>
    <w:p>
      <w:pPr>
        <w:jc w:val="both"/>
        <w:ind w:firstLine="8"/>
        <w:spacing w:after="0" w:line="234" w:lineRule="auto"/>
        <w:tabs>
          <w:tab w:leader="none" w:pos="311"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date that is 270 days after the Target Commencement Date as referenced in such Lease provisions shall initially be measured from October 1, 2020 (rather than July 1, 2020), with all such dates to be finally adjusted based on the Actual Tenant Delay (and any other Tenant Delays).</w:t>
      </w:r>
    </w:p>
    <w:p>
      <w:pPr>
        <w:spacing w:after="0" w:line="179" w:lineRule="exact"/>
        <w:rPr>
          <w:rFonts w:ascii="Arial" w:cs="Arial" w:eastAsia="Arial" w:hAnsi="Arial"/>
          <w:sz w:val="20"/>
          <w:szCs w:val="20"/>
          <w:color w:val="auto"/>
        </w:rPr>
      </w:pPr>
    </w:p>
    <w:p>
      <w:pPr>
        <w:jc w:val="both"/>
        <w:ind w:firstLine="958"/>
        <w:spacing w:after="0" w:line="233" w:lineRule="auto"/>
        <w:tabs>
          <w:tab w:leader="none" w:pos="1764"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Binding Effect; No Other Changes</w:t>
      </w:r>
      <w:r>
        <w:rPr>
          <w:rFonts w:ascii="Arial" w:cs="Arial" w:eastAsia="Arial" w:hAnsi="Arial"/>
          <w:sz w:val="20"/>
          <w:szCs w:val="20"/>
          <w:color w:val="auto"/>
        </w:rPr>
        <w:t>. This letter agreement shall be binding upon Landlord, its successors and assigns, and Tenant, its successors and assigns as permitted under Section 22 of the Lease. Except as supplemented by this letter agreement, the Lease is hereby ratified and confirmed and all other terms of the Lease shall remain in full force and effect, unaltered and unchanged by this letter agreement. In the event of any conflict between the provisions of this letter agreement and the provisions of the Lease, the provisions of this letter agreement shall prevail. Regardless of whether specifically supplemented by this letter agreement, all of the terms and provisions of the Lease are hereby amended to the extent necessary to give effect to the purpose and intent of this letter agreement.</w:t>
      </w:r>
    </w:p>
    <w:p>
      <w:pPr>
        <w:spacing w:after="0" w:line="179" w:lineRule="exact"/>
        <w:rPr>
          <w:rFonts w:ascii="Arial" w:cs="Arial" w:eastAsia="Arial" w:hAnsi="Arial"/>
          <w:sz w:val="20"/>
          <w:szCs w:val="20"/>
          <w:color w:val="auto"/>
        </w:rPr>
      </w:pPr>
    </w:p>
    <w:p>
      <w:pPr>
        <w:jc w:val="both"/>
        <w:ind w:firstLine="958"/>
        <w:spacing w:after="0" w:line="236" w:lineRule="auto"/>
        <w:tabs>
          <w:tab w:leader="none" w:pos="1764"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The parties will keep the subject matter of this letter agreement confidential between them in accordance with the requirements and subject to the exceptions of Section 47(m) of the Lease. Landlord acknowledges and agrees that Tenant shall have the right to disclose this letter agreement in connection with a request under Sections 23 (Estoppel Certificate) or 27 (Subordination) of the Lease and the delivery of any statement or instrument thereunder, or as otherwise permitted under Section 47(m) of the Lease.</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22215181-v8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59" w:name="page60"/>
    <w:bookmarkEnd w:id="59"/>
    <w:p>
      <w:pPr>
        <w:spacing w:after="0"/>
        <w:rPr>
          <w:sz w:val="20"/>
          <w:szCs w:val="20"/>
          <w:color w:val="auto"/>
        </w:rPr>
      </w:pPr>
      <w:r>
        <w:rPr>
          <w:rFonts w:ascii="Arial" w:cs="Arial" w:eastAsia="Arial" w:hAnsi="Arial"/>
          <w:sz w:val="20"/>
          <w:szCs w:val="20"/>
          <w:color w:val="auto"/>
        </w:rPr>
        <w:t>REGENXBIO Inc.</w:t>
      </w:r>
    </w:p>
    <w:p>
      <w:pPr>
        <w:spacing w:after="0" w:line="238" w:lineRule="auto"/>
        <w:rPr>
          <w:sz w:val="20"/>
          <w:szCs w:val="20"/>
          <w:color w:val="auto"/>
        </w:rPr>
      </w:pPr>
      <w:r>
        <w:rPr>
          <w:rFonts w:ascii="Arial" w:cs="Arial" w:eastAsia="Arial" w:hAnsi="Arial"/>
          <w:sz w:val="20"/>
          <w:szCs w:val="20"/>
          <w:color w:val="auto"/>
        </w:rPr>
        <w:t>April 12, 2019</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958"/>
        <w:spacing w:after="0" w:line="233" w:lineRule="auto"/>
        <w:tabs>
          <w:tab w:leader="none" w:pos="1764"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Counterparts/Electronic Signatures</w:t>
      </w:r>
      <w:r>
        <w:rPr>
          <w:rFonts w:ascii="Arial" w:cs="Arial" w:eastAsia="Arial" w:hAnsi="Arial"/>
          <w:sz w:val="20"/>
          <w:szCs w:val="20"/>
          <w:color w:val="auto"/>
        </w:rPr>
        <w:t>. This letter agreement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letter agreement and all matters related thereto, with such electronic signatures having the same legal effect as original signatures.</w:t>
      </w:r>
    </w:p>
    <w:p>
      <w:pPr>
        <w:spacing w:after="0" w:line="179" w:lineRule="exact"/>
        <w:rPr>
          <w:sz w:val="20"/>
          <w:szCs w:val="20"/>
          <w:color w:val="auto"/>
        </w:rPr>
      </w:pPr>
    </w:p>
    <w:p>
      <w:pPr>
        <w:ind w:left="960"/>
        <w:spacing w:after="0"/>
        <w:rPr>
          <w:sz w:val="20"/>
          <w:szCs w:val="20"/>
          <w:color w:val="auto"/>
        </w:rPr>
      </w:pPr>
      <w:r>
        <w:rPr>
          <w:rFonts w:ascii="Arial" w:cs="Arial" w:eastAsia="Arial" w:hAnsi="Arial"/>
          <w:sz w:val="20"/>
          <w:szCs w:val="20"/>
          <w:color w:val="auto"/>
        </w:rPr>
        <w:t>Please acknowledge your agreement to the terms of this letter agreement by countersigning below.</w:t>
      </w:r>
    </w:p>
    <w:p>
      <w:pPr>
        <w:spacing w:after="0" w:line="216"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Sincerely,</w:t>
      </w:r>
    </w:p>
    <w:p>
      <w:pPr>
        <w:spacing w:after="0" w:line="214"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ARE-MARYLAND NO. 24, LLC</w:t>
      </w:r>
      <w:r>
        <w:rPr>
          <w:rFonts w:ascii="Arial" w:cs="Arial" w:eastAsia="Arial" w:hAnsi="Arial"/>
          <w:sz w:val="20"/>
          <w:szCs w:val="20"/>
          <w:color w:val="auto"/>
        </w:rPr>
        <w:t>,</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a Delaware limited liability company</w:t>
      </w:r>
    </w:p>
    <w:p>
      <w:pPr>
        <w:spacing w:after="0" w:line="190" w:lineRule="exact"/>
        <w:rPr>
          <w:sz w:val="20"/>
          <w:szCs w:val="20"/>
          <w:color w:val="auto"/>
        </w:rPr>
      </w:pPr>
    </w:p>
    <w:p>
      <w:pPr>
        <w:jc w:val="center"/>
        <w:ind w:left="1500"/>
        <w:spacing w:after="0"/>
        <w:tabs>
          <w:tab w:leader="none" w:pos="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Alexandria Real Estate Equities, L.P.,</w:t>
      </w:r>
    </w:p>
    <w:p>
      <w:pPr>
        <w:spacing w:after="0" w:line="25" w:lineRule="exact"/>
        <w:rPr>
          <w:sz w:val="20"/>
          <w:szCs w:val="20"/>
          <w:color w:val="auto"/>
        </w:rPr>
      </w:pPr>
    </w:p>
    <w:p>
      <w:pPr>
        <w:jc w:val="center"/>
        <w:ind w:left="1460"/>
        <w:spacing w:after="0"/>
        <w:rPr>
          <w:sz w:val="20"/>
          <w:szCs w:val="20"/>
          <w:color w:val="auto"/>
        </w:rPr>
      </w:pPr>
      <w:r>
        <w:rPr>
          <w:rFonts w:ascii="Arial" w:cs="Arial" w:eastAsia="Arial" w:hAnsi="Arial"/>
          <w:sz w:val="20"/>
          <w:szCs w:val="20"/>
          <w:color w:val="auto"/>
        </w:rPr>
        <w:t>a Delaware limited partnership,</w:t>
      </w:r>
    </w:p>
    <w:p>
      <w:pPr>
        <w:ind w:left="5080"/>
        <w:spacing w:after="0"/>
        <w:rPr>
          <w:sz w:val="20"/>
          <w:szCs w:val="20"/>
          <w:color w:val="auto"/>
        </w:rPr>
      </w:pPr>
      <w:r>
        <w:rPr>
          <w:rFonts w:ascii="Arial" w:cs="Arial" w:eastAsia="Arial" w:hAnsi="Arial"/>
          <w:sz w:val="20"/>
          <w:szCs w:val="20"/>
          <w:color w:val="auto"/>
        </w:rPr>
        <w:t>as its sole member</w:t>
      </w:r>
    </w:p>
    <w:p>
      <w:pPr>
        <w:spacing w:after="0" w:line="203" w:lineRule="exact"/>
        <w:rPr>
          <w:sz w:val="20"/>
          <w:szCs w:val="20"/>
          <w:color w:val="auto"/>
        </w:rPr>
      </w:pPr>
    </w:p>
    <w:p>
      <w:pPr>
        <w:ind w:left="5080"/>
        <w:spacing w:after="0"/>
        <w:tabs>
          <w:tab w:leader="none" w:pos="5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ARE-QRS CORP.,</w:t>
      </w:r>
    </w:p>
    <w:p>
      <w:pPr>
        <w:spacing w:after="0" w:line="26"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a Maryland corporation, general partner</w:t>
      </w:r>
    </w:p>
    <w:p>
      <w:pPr>
        <w:spacing w:after="0" w:line="203" w:lineRule="exact"/>
        <w:rPr>
          <w:sz w:val="20"/>
          <w:szCs w:val="20"/>
          <w:color w:val="auto"/>
        </w:rPr>
      </w:pPr>
    </w:p>
    <w:tbl>
      <w:tblPr>
        <w:tblLayout w:type="fixed"/>
        <w:tblInd w:w="5740" w:type="dxa"/>
        <w:tblCellMar>
          <w:top w:w="0" w:type="dxa"/>
          <w:left w:w="0" w:type="dxa"/>
          <w:bottom w:w="0" w:type="dxa"/>
          <w:right w:w="0" w:type="dxa"/>
        </w:tblCellMar>
      </w:tblPr>
      <w:tr>
        <w:trPr>
          <w:trHeight w:val="259"/>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Gary Dean</w:t>
            </w:r>
          </w:p>
        </w:tc>
      </w:tr>
      <w:tr>
        <w:trPr>
          <w:trHeight w:val="220"/>
        </w:trPr>
        <w:tc>
          <w:tcPr>
            <w:tcW w:w="760" w:type="dxa"/>
            <w:vAlign w:val="bottom"/>
          </w:tcPr>
          <w:p>
            <w:pPr>
              <w:spacing w:after="0" w:line="221" w:lineRule="exact"/>
              <w:rPr>
                <w:sz w:val="20"/>
                <w:szCs w:val="20"/>
                <w:color w:val="auto"/>
              </w:rPr>
            </w:pPr>
            <w:r>
              <w:rPr>
                <w:rFonts w:ascii="Arial" w:cs="Arial" w:eastAsia="Arial" w:hAnsi="Arial"/>
                <w:sz w:val="20"/>
                <w:szCs w:val="20"/>
                <w:color w:val="auto"/>
              </w:rPr>
              <w:t>Name:</w:t>
            </w:r>
          </w:p>
        </w:tc>
        <w:tc>
          <w:tcPr>
            <w:tcW w:w="4920" w:type="dxa"/>
            <w:vAlign w:val="bottom"/>
          </w:tcPr>
          <w:p>
            <w:pPr>
              <w:spacing w:after="0" w:line="221" w:lineRule="exact"/>
              <w:rPr>
                <w:sz w:val="20"/>
                <w:szCs w:val="20"/>
                <w:color w:val="auto"/>
              </w:rPr>
            </w:pPr>
            <w:r>
              <w:rPr>
                <w:rFonts w:ascii="Arial" w:cs="Arial" w:eastAsia="Arial" w:hAnsi="Arial"/>
                <w:sz w:val="20"/>
                <w:szCs w:val="20"/>
                <w:color w:val="auto"/>
              </w:rPr>
              <w:t>Gary Dean</w:t>
            </w:r>
          </w:p>
        </w:tc>
      </w:tr>
      <w:tr>
        <w:trPr>
          <w:trHeight w:val="259"/>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Senior Vice President</w:t>
            </w:r>
          </w:p>
        </w:tc>
      </w:tr>
      <w:tr>
        <w:trPr>
          <w:trHeight w:val="250"/>
        </w:trPr>
        <w:tc>
          <w:tcPr>
            <w:tcW w:w="760" w:type="dxa"/>
            <w:vAlign w:val="bottom"/>
          </w:tcPr>
          <w:p>
            <w:pPr>
              <w:spacing w:after="0"/>
              <w:rPr>
                <w:sz w:val="21"/>
                <w:szCs w:val="21"/>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RE Legal</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CONTINUED ON NEXT PAGE]</w:t>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22215181-v8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REGENXBIO Inc.</w:t>
      </w:r>
    </w:p>
    <w:p>
      <w:pPr>
        <w:spacing w:after="0" w:line="238" w:lineRule="auto"/>
        <w:rPr>
          <w:sz w:val="20"/>
          <w:szCs w:val="20"/>
          <w:color w:val="auto"/>
        </w:rPr>
      </w:pPr>
      <w:r>
        <w:rPr>
          <w:rFonts w:ascii="Arial" w:cs="Arial" w:eastAsia="Arial" w:hAnsi="Arial"/>
          <w:sz w:val="20"/>
          <w:szCs w:val="20"/>
          <w:color w:val="auto"/>
        </w:rPr>
        <w:t>April 12, 2019</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ACKNOWLEDGED AND AGREED AS OF</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THE DATE FIRST WRITTEN ABOVE</w:t>
      </w:r>
      <w:r>
        <w:rPr>
          <w:rFonts w:ascii="Arial" w:cs="Arial" w:eastAsia="Arial" w:hAnsi="Arial"/>
          <w:sz w:val="20"/>
          <w:szCs w:val="20"/>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REGENXBIO INC</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620" w:type="dxa"/>
            <w:vAlign w:val="bottom"/>
          </w:tcPr>
          <w:p>
            <w:pPr>
              <w:spacing w:after="0"/>
              <w:rPr>
                <w:sz w:val="20"/>
                <w:szCs w:val="20"/>
                <w:color w:val="auto"/>
              </w:rPr>
            </w:pPr>
            <w:r>
              <w:rPr>
                <w:rFonts w:ascii="Arial" w:cs="Arial" w:eastAsia="Arial" w:hAnsi="Arial"/>
                <w:sz w:val="20"/>
                <w:szCs w:val="20"/>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Kenneth Mills</w:t>
            </w:r>
          </w:p>
        </w:tc>
        <w:tc>
          <w:tcPr>
            <w:tcW w:w="6860" w:type="dxa"/>
            <w:vAlign w:val="bottom"/>
          </w:tcPr>
          <w:p>
            <w:pPr>
              <w:spacing w:after="0"/>
              <w:rPr>
                <w:sz w:val="21"/>
                <w:szCs w:val="21"/>
                <w:color w:val="auto"/>
              </w:rPr>
            </w:pPr>
          </w:p>
        </w:tc>
      </w:tr>
      <w:tr>
        <w:trPr>
          <w:trHeight w:val="250"/>
        </w:trPr>
        <w:tc>
          <w:tcPr>
            <w:tcW w:w="1620" w:type="dxa"/>
            <w:vAlign w:val="bottom"/>
          </w:tcPr>
          <w:p>
            <w:pPr>
              <w:spacing w:after="0"/>
              <w:rPr>
                <w:sz w:val="20"/>
                <w:szCs w:val="20"/>
                <w:color w:val="auto"/>
              </w:rPr>
            </w:pPr>
            <w:r>
              <w:rPr>
                <w:rFonts w:ascii="Arial" w:cs="Arial" w:eastAsia="Arial" w:hAnsi="Arial"/>
                <w:sz w:val="20"/>
                <w:szCs w:val="20"/>
                <w:color w:val="auto"/>
              </w:rPr>
              <w:t>Print Name:</w:t>
            </w:r>
          </w:p>
        </w:tc>
        <w:tc>
          <w:tcPr>
            <w:tcW w:w="2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Kenneth Mills</w:t>
            </w:r>
          </w:p>
        </w:tc>
        <w:tc>
          <w:tcPr>
            <w:tcW w:w="6860" w:type="dxa"/>
            <w:vAlign w:val="bottom"/>
          </w:tcPr>
          <w:p>
            <w:pPr>
              <w:spacing w:after="0"/>
              <w:rPr>
                <w:sz w:val="21"/>
                <w:szCs w:val="21"/>
                <w:color w:val="auto"/>
              </w:rPr>
            </w:pPr>
          </w:p>
        </w:tc>
      </w:tr>
      <w:tr>
        <w:trPr>
          <w:trHeight w:val="250"/>
        </w:trPr>
        <w:tc>
          <w:tcPr>
            <w:tcW w:w="1620" w:type="dxa"/>
            <w:vAlign w:val="bottom"/>
          </w:tcPr>
          <w:p>
            <w:pPr>
              <w:spacing w:after="0"/>
              <w:rPr>
                <w:sz w:val="20"/>
                <w:szCs w:val="20"/>
                <w:color w:val="auto"/>
              </w:rPr>
            </w:pPr>
            <w:r>
              <w:rPr>
                <w:rFonts w:ascii="Arial" w:cs="Arial" w:eastAsia="Arial" w:hAnsi="Arial"/>
                <w:sz w:val="20"/>
                <w:szCs w:val="20"/>
                <w:color w:val="auto"/>
              </w:rPr>
              <w:t>Its:</w:t>
            </w:r>
          </w:p>
        </w:tc>
        <w:tc>
          <w:tcPr>
            <w:tcW w:w="2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President &amp; CEO</w:t>
            </w:r>
          </w:p>
        </w:tc>
        <w:tc>
          <w:tcPr>
            <w:tcW w:w="6860" w:type="dxa"/>
            <w:vAlign w:val="bottom"/>
          </w:tcPr>
          <w:p>
            <w:pPr>
              <w:spacing w:after="0"/>
              <w:rPr>
                <w:sz w:val="21"/>
                <w:szCs w:val="21"/>
                <w:color w:val="auto"/>
              </w:rPr>
            </w:pPr>
          </w:p>
        </w:tc>
      </w:tr>
      <w:tr>
        <w:trPr>
          <w:trHeight w:val="769"/>
        </w:trPr>
        <w:tc>
          <w:tcPr>
            <w:tcW w:w="1620" w:type="dxa"/>
            <w:vAlign w:val="bottom"/>
          </w:tcPr>
          <w:p>
            <w:pPr>
              <w:spacing w:after="0"/>
              <w:rPr>
                <w:sz w:val="20"/>
                <w:szCs w:val="20"/>
                <w:color w:val="auto"/>
              </w:rPr>
            </w:pPr>
            <w:r>
              <w:rPr>
                <w:rFonts w:ascii="Arial" w:cs="Arial" w:eastAsia="Arial" w:hAnsi="Arial"/>
                <w:sz w:val="14"/>
                <w:szCs w:val="14"/>
                <w:color w:val="auto"/>
              </w:rPr>
              <w:t>22215181-v8</w:t>
            </w:r>
          </w:p>
        </w:tc>
        <w:tc>
          <w:tcPr>
            <w:tcW w:w="296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245"/>
        </w:trPr>
        <w:tc>
          <w:tcPr>
            <w:tcW w:w="1620" w:type="dxa"/>
            <w:vAlign w:val="bottom"/>
            <w:tcBorders>
              <w:bottom w:val="single" w:sz="8" w:color="9A9A9A"/>
            </w:tcBorders>
          </w:tcPr>
          <w:p>
            <w:pPr>
              <w:spacing w:after="0"/>
              <w:rPr>
                <w:sz w:val="21"/>
                <w:szCs w:val="21"/>
                <w:color w:val="auto"/>
              </w:rPr>
            </w:pPr>
          </w:p>
        </w:tc>
        <w:tc>
          <w:tcPr>
            <w:tcW w:w="2960" w:type="dxa"/>
            <w:vAlign w:val="bottom"/>
            <w:tcBorders>
              <w:bottom w:val="single" w:sz="8" w:color="9A9A9A"/>
            </w:tcBorders>
          </w:tcPr>
          <w:p>
            <w:pPr>
              <w:spacing w:after="0"/>
              <w:rPr>
                <w:sz w:val="21"/>
                <w:szCs w:val="21"/>
                <w:color w:val="auto"/>
              </w:rPr>
            </w:pPr>
          </w:p>
        </w:tc>
        <w:tc>
          <w:tcPr>
            <w:tcW w:w="68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REGENXBIO Inc.</w:t>
      </w:r>
    </w:p>
    <w:p>
      <w:pPr>
        <w:spacing w:after="0" w:line="238" w:lineRule="auto"/>
        <w:rPr>
          <w:sz w:val="20"/>
          <w:szCs w:val="20"/>
          <w:color w:val="auto"/>
        </w:rPr>
      </w:pPr>
      <w:r>
        <w:rPr>
          <w:rFonts w:ascii="Arial" w:cs="Arial" w:eastAsia="Arial" w:hAnsi="Arial"/>
          <w:sz w:val="20"/>
          <w:szCs w:val="20"/>
          <w:color w:val="auto"/>
        </w:rPr>
        <w:t>April 12, 2019</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MATERIAL CHANGES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list of MATERIAL CHANGES are the basis of this letter agreement.</w:t>
      </w:r>
    </w:p>
    <w:p>
      <w:pPr>
        <w:spacing w:after="0" w:line="11" w:lineRule="exact"/>
        <w:rPr>
          <w:sz w:val="20"/>
          <w:szCs w:val="20"/>
          <w:color w:val="auto"/>
        </w:rPr>
      </w:pPr>
    </w:p>
    <w:p>
      <w:pPr>
        <w:ind w:left="960" w:hanging="479"/>
        <w:spacing w:after="0"/>
        <w:tabs>
          <w:tab w:leader="none" w:pos="960" w:val="left"/>
        </w:tabs>
        <w:numPr>
          <w:ilvl w:val="0"/>
          <w:numId w:val="4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Modifications to X bracing – </w:t>
      </w:r>
      <w:r>
        <w:rPr>
          <w:rFonts w:ascii="Arial" w:cs="Arial" w:eastAsia="Arial" w:hAnsi="Arial"/>
          <w:sz w:val="20"/>
          <w:szCs w:val="20"/>
          <w:b w:val="1"/>
          <w:bCs w:val="1"/>
          <w:color w:val="auto"/>
        </w:rPr>
        <w:t>proceed</w:t>
      </w:r>
    </w:p>
    <w:p>
      <w:pPr>
        <w:ind w:left="960" w:hanging="479"/>
        <w:spacing w:after="0" w:line="238" w:lineRule="auto"/>
        <w:tabs>
          <w:tab w:leader="none" w:pos="960" w:val="left"/>
        </w:tabs>
        <w:numPr>
          <w:ilvl w:val="0"/>
          <w:numId w:val="4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Relocate N Stairwell – </w:t>
      </w:r>
      <w:r>
        <w:rPr>
          <w:rFonts w:ascii="Arial" w:cs="Arial" w:eastAsia="Arial" w:hAnsi="Arial"/>
          <w:sz w:val="20"/>
          <w:szCs w:val="20"/>
          <w:b w:val="1"/>
          <w:bCs w:val="1"/>
          <w:color w:val="auto"/>
        </w:rPr>
        <w:t>proceed</w:t>
      </w:r>
    </w:p>
    <w:p>
      <w:pPr>
        <w:ind w:left="960" w:hanging="479"/>
        <w:spacing w:after="0" w:line="238" w:lineRule="auto"/>
        <w:tabs>
          <w:tab w:leader="none" w:pos="960" w:val="left"/>
        </w:tabs>
        <w:numPr>
          <w:ilvl w:val="0"/>
          <w:numId w:val="4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Reposition service elevator and add second dedicated service elevator – </w:t>
      </w:r>
      <w:r>
        <w:rPr>
          <w:rFonts w:ascii="Arial" w:cs="Arial" w:eastAsia="Arial" w:hAnsi="Arial"/>
          <w:sz w:val="20"/>
          <w:szCs w:val="20"/>
          <w:b w:val="1"/>
          <w:bCs w:val="1"/>
          <w:color w:val="auto"/>
        </w:rPr>
        <w:t>proceed</w:t>
      </w:r>
    </w:p>
    <w:p>
      <w:pPr>
        <w:ind w:left="960" w:hanging="479"/>
        <w:spacing w:after="0" w:line="238" w:lineRule="auto"/>
        <w:tabs>
          <w:tab w:leader="none" w:pos="960" w:val="left"/>
        </w:tabs>
        <w:numPr>
          <w:ilvl w:val="0"/>
          <w:numId w:val="4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Central stair security required between REGENXBIO floors and future tenant floors – </w:t>
      </w:r>
      <w:r>
        <w:rPr>
          <w:rFonts w:ascii="Arial" w:cs="Arial" w:eastAsia="Arial" w:hAnsi="Arial"/>
          <w:sz w:val="20"/>
          <w:szCs w:val="20"/>
          <w:b w:val="1"/>
          <w:bCs w:val="1"/>
          <w:color w:val="auto"/>
        </w:rPr>
        <w:t>proceed</w:t>
      </w:r>
    </w:p>
    <w:p>
      <w:pPr>
        <w:ind w:left="960" w:hanging="479"/>
        <w:spacing w:after="0" w:line="238" w:lineRule="auto"/>
        <w:tabs>
          <w:tab w:leader="none" w:pos="960" w:val="left"/>
        </w:tabs>
        <w:numPr>
          <w:ilvl w:val="0"/>
          <w:numId w:val="43"/>
        </w:numPr>
        <w:rPr>
          <w:rFonts w:ascii="Times New Roman" w:cs="Times New Roman" w:eastAsia="Times New Roman" w:hAnsi="Times New Roman"/>
          <w:sz w:val="20"/>
          <w:szCs w:val="20"/>
          <w:color w:val="auto"/>
        </w:rPr>
      </w:pPr>
      <w:r>
        <w:rPr>
          <w:rFonts w:ascii="Arial" w:cs="Arial" w:eastAsia="Arial" w:hAnsi="Arial"/>
          <w:sz w:val="20"/>
          <w:szCs w:val="20"/>
          <w:color w:val="auto"/>
        </w:rPr>
        <w:t>Increase 5</w:t>
      </w:r>
      <w:r>
        <w:rPr>
          <w:rFonts w:ascii="Arial" w:cs="Arial" w:eastAsia="Arial" w:hAnsi="Arial"/>
          <w:sz w:val="16"/>
          <w:szCs w:val="16"/>
          <w:color w:val="auto"/>
        </w:rPr>
        <w:t>th</w:t>
      </w:r>
      <w:r>
        <w:rPr>
          <w:rFonts w:ascii="Arial" w:cs="Arial" w:eastAsia="Arial" w:hAnsi="Arial"/>
          <w:sz w:val="20"/>
          <w:szCs w:val="20"/>
          <w:color w:val="auto"/>
        </w:rPr>
        <w:t xml:space="preserve"> floor 3 feet in height – </w:t>
      </w:r>
      <w:r>
        <w:rPr>
          <w:rFonts w:ascii="Arial" w:cs="Arial" w:eastAsia="Arial" w:hAnsi="Arial"/>
          <w:sz w:val="20"/>
          <w:szCs w:val="20"/>
          <w:b w:val="1"/>
          <w:bCs w:val="1"/>
          <w:color w:val="auto"/>
        </w:rPr>
        <w:t>proceed</w:t>
      </w:r>
    </w:p>
    <w:p>
      <w:pPr>
        <w:ind w:left="960" w:hanging="479"/>
        <w:spacing w:after="0" w:line="238" w:lineRule="auto"/>
        <w:tabs>
          <w:tab w:leader="none" w:pos="960" w:val="left"/>
        </w:tabs>
        <w:numPr>
          <w:ilvl w:val="0"/>
          <w:numId w:val="43"/>
        </w:numPr>
        <w:rPr>
          <w:rFonts w:ascii="Times New Roman" w:cs="Times New Roman" w:eastAsia="Times New Roman" w:hAnsi="Times New Roman"/>
          <w:sz w:val="20"/>
          <w:szCs w:val="20"/>
          <w:color w:val="auto"/>
        </w:rPr>
      </w:pPr>
      <w:r>
        <w:rPr>
          <w:rFonts w:ascii="Arial" w:cs="Arial" w:eastAsia="Arial" w:hAnsi="Arial"/>
          <w:sz w:val="20"/>
          <w:szCs w:val="20"/>
          <w:color w:val="auto"/>
        </w:rPr>
        <w:t>Increase 5</w:t>
      </w:r>
      <w:r>
        <w:rPr>
          <w:rFonts w:ascii="Arial" w:cs="Arial" w:eastAsia="Arial" w:hAnsi="Arial"/>
          <w:sz w:val="16"/>
          <w:szCs w:val="16"/>
          <w:color w:val="auto"/>
        </w:rPr>
        <w:t>th</w:t>
      </w:r>
      <w:r>
        <w:rPr>
          <w:rFonts w:ascii="Arial" w:cs="Arial" w:eastAsia="Arial" w:hAnsi="Arial"/>
          <w:sz w:val="20"/>
          <w:szCs w:val="20"/>
          <w:color w:val="auto"/>
        </w:rPr>
        <w:t xml:space="preserve"> floor load to 125 lbs/sf – </w:t>
      </w:r>
      <w:r>
        <w:rPr>
          <w:rFonts w:ascii="Arial" w:cs="Arial" w:eastAsia="Arial" w:hAnsi="Arial"/>
          <w:sz w:val="20"/>
          <w:szCs w:val="20"/>
          <w:b w:val="1"/>
          <w:bCs w:val="1"/>
          <w:color w:val="auto"/>
        </w:rPr>
        <w:t>proceed</w:t>
      </w:r>
    </w:p>
    <w:p>
      <w:pPr>
        <w:ind w:left="960" w:hanging="479"/>
        <w:spacing w:after="0"/>
        <w:tabs>
          <w:tab w:leader="none" w:pos="960" w:val="left"/>
        </w:tabs>
        <w:numPr>
          <w:ilvl w:val="0"/>
          <w:numId w:val="4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Future Penthouse – </w:t>
      </w:r>
      <w:r>
        <w:rPr>
          <w:rFonts w:ascii="Arial" w:cs="Arial" w:eastAsia="Arial" w:hAnsi="Arial"/>
          <w:sz w:val="20"/>
          <w:szCs w:val="20"/>
          <w:b w:val="1"/>
          <w:bCs w:val="1"/>
          <w:color w:val="auto"/>
        </w:rPr>
        <w:t>proceed</w:t>
      </w:r>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The list below of PDF documents (which documents have been prepared by Gaudreau, Inc.) are the supporting documents for these Material Changes:</w:t>
      </w:r>
    </w:p>
    <w:p>
      <w:pPr>
        <w:spacing w:after="0" w:line="152" w:lineRule="exact"/>
        <w:rPr>
          <w:sz w:val="20"/>
          <w:szCs w:val="20"/>
          <w:color w:val="auto"/>
        </w:rPr>
      </w:pPr>
    </w:p>
    <w:p>
      <w:pPr>
        <w:ind w:left="700"/>
        <w:spacing w:after="0"/>
        <w:tabs>
          <w:tab w:leader="none" w:pos="2160" w:val="left"/>
          <w:tab w:leader="none" w:pos="340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NOTES</w:t>
      </w:r>
    </w:p>
    <w:p>
      <w:pPr>
        <w:spacing w:after="0" w:line="11" w:lineRule="exact"/>
        <w:rPr>
          <w:sz w:val="20"/>
          <w:szCs w:val="20"/>
          <w:color w:val="auto"/>
        </w:rPr>
      </w:pPr>
    </w:p>
    <w:p>
      <w:pPr>
        <w:ind w:left="960" w:hanging="479"/>
        <w:spacing w:after="0"/>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1/14/2019 S-001 - GENERAL NOTES, ABBREVIATIONS, AND SYMBOLS.pdf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2/19/2019 S-111 - ROOF FRAMING PLAN—AREA A.pdf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2/19/2019 S-112 - ROOF FRAMING PLAN—AREA B.pdf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2/19/2019 S-113 - PENTHOUSE ROOF AND MECHANICAL PLATFORM FRAMING PLAN—AREA A.pdf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2/19/2019 S-114 - PENTHOUSE ROOF AND MECHANICAL PLATFORM FRAMING PLAN—AREA B.pdf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A-101 - OVERALL FLOOR PLANS - 1ST &amp; 2</w:t>
      </w:r>
      <w:r>
        <w:rPr>
          <w:rFonts w:ascii="Arial" w:cs="Arial" w:eastAsia="Arial" w:hAnsi="Arial"/>
          <w:sz w:val="16"/>
          <w:szCs w:val="16"/>
          <w:color w:val="auto"/>
        </w:rPr>
        <w:t>ND</w:t>
      </w:r>
      <w:r>
        <w:rPr>
          <w:rFonts w:ascii="Arial" w:cs="Arial" w:eastAsia="Arial" w:hAnsi="Arial"/>
          <w:sz w:val="20"/>
          <w:szCs w:val="20"/>
          <w:color w:val="auto"/>
        </w:rPr>
        <w:t xml:space="preserve"> FLOORS.pdf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A-102 - OVERALL FLOOR PLANS - 3RD &amp; 4</w:t>
      </w:r>
      <w:r>
        <w:rPr>
          <w:rFonts w:ascii="Arial" w:cs="Arial" w:eastAsia="Arial" w:hAnsi="Arial"/>
          <w:sz w:val="16"/>
          <w:szCs w:val="16"/>
          <w:color w:val="auto"/>
        </w:rPr>
        <w:t>TH</w:t>
      </w:r>
      <w:r>
        <w:rPr>
          <w:rFonts w:ascii="Arial" w:cs="Arial" w:eastAsia="Arial" w:hAnsi="Arial"/>
          <w:sz w:val="20"/>
          <w:szCs w:val="20"/>
          <w:color w:val="auto"/>
        </w:rPr>
        <w:t xml:space="preserve"> FLOORS.pdf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2/19/2019 A-103 - OVERALL FLOOR PLANS - 5TH FLOOR &amp; ROOF.pdf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2/19/2019 A-301 - BUILDING SECTIONS.pdf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A-401 - STAIR PLANS - STAIR 01.pdf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A-402 - STAIR SECTIONS - STAIR 01.pdf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A-403 - STAIR PLANS - STAIR 02.pdf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A-404 - STAIR SECTIONS - STAIR 02.pdf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A-411 - LOADING AREA ENLARGED PLAN AND DETAILS.pdf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A-421 - RESTROOM ENLARGED FLOOR PLAN - FIRST FLOOR.pdf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A-422 - RESTROOM ENLARGED FLOOR PLAN - SECOND-FIFTH FLOORS.pdf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A-423 - RESTROOM INTERIOR ELEVATIONS.pdf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S101.pdf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S102.pdf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S103.pdf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S104.pdf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S105.pdf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S106.pdf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S107.pdf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S108.pdf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S109.pdf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S110.pdf</w:t>
      </w:r>
    </w:p>
    <w:p>
      <w:pPr>
        <w:ind w:left="960" w:hanging="479"/>
        <w:spacing w:after="0" w:line="238" w:lineRule="auto"/>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S601.pdf</w:t>
      </w:r>
    </w:p>
    <w:p>
      <w:pPr>
        <w:ind w:left="960" w:hanging="479"/>
        <w:spacing w:after="0"/>
        <w:tabs>
          <w:tab w:leader="none" w:pos="96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3/26/2019 1713 - 9800 MCD Bldg F - S602.pdf</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22215181-v8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62" w:name="page63"/>
    <w:bookmarkEnd w:id="62"/>
    <w:p>
      <w:pPr>
        <w:spacing w:after="0"/>
        <w:rPr>
          <w:sz w:val="20"/>
          <w:szCs w:val="20"/>
          <w:color w:val="auto"/>
        </w:rPr>
      </w:pPr>
      <w:r>
        <w:rPr>
          <w:rFonts w:ascii="Arial" w:cs="Arial" w:eastAsia="Arial" w:hAnsi="Arial"/>
          <w:sz w:val="20"/>
          <w:szCs w:val="20"/>
          <w:color w:val="auto"/>
        </w:rPr>
        <w:t>REGENXBIO Inc.</w:t>
      </w:r>
    </w:p>
    <w:p>
      <w:pPr>
        <w:spacing w:after="0" w:line="238" w:lineRule="auto"/>
        <w:rPr>
          <w:sz w:val="20"/>
          <w:szCs w:val="20"/>
          <w:color w:val="auto"/>
        </w:rPr>
      </w:pPr>
      <w:r>
        <w:rPr>
          <w:rFonts w:ascii="Arial" w:cs="Arial" w:eastAsia="Arial" w:hAnsi="Arial"/>
          <w:sz w:val="20"/>
          <w:szCs w:val="20"/>
          <w:color w:val="auto"/>
        </w:rPr>
        <w:t>April 12, 2019</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17"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RIDER 1</w:t>
      </w:r>
    </w:p>
    <w:p>
      <w:pPr>
        <w:spacing w:after="0" w:line="216"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RIDER 1 TO EXHIBIT C-1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Base Building Construction Schedule</w:t>
      </w: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020" w:type="dxa"/>
            <w:vAlign w:val="bottom"/>
            <w:tcBorders>
              <w:top w:val="single" w:sz="8" w:color="auto"/>
              <w:left w:val="single" w:sz="8" w:color="auto"/>
              <w:bottom w:val="single" w:sz="8" w:color="auto"/>
              <w:right w:val="single" w:sz="8" w:color="auto"/>
            </w:tcBorders>
            <w:shd w:val="clear" w:color="auto" w:fill="D9D9D9"/>
          </w:tcPr>
          <w:p>
            <w:pPr>
              <w:ind w:left="2760"/>
              <w:spacing w:after="0"/>
              <w:rPr>
                <w:sz w:val="20"/>
                <w:szCs w:val="20"/>
                <w:color w:val="auto"/>
              </w:rPr>
            </w:pPr>
            <w:r>
              <w:rPr>
                <w:rFonts w:ascii="Arial" w:cs="Arial" w:eastAsia="Arial" w:hAnsi="Arial"/>
                <w:sz w:val="20"/>
                <w:szCs w:val="20"/>
                <w:b w:val="1"/>
                <w:bCs w:val="1"/>
                <w:color w:val="auto"/>
              </w:rPr>
              <w:t>Milestone Event</w:t>
            </w:r>
          </w:p>
        </w:tc>
        <w:tc>
          <w:tcPr>
            <w:tcW w:w="44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9"/>
              </w:rPr>
              <w:t>Projected Date</w:t>
            </w:r>
          </w:p>
        </w:tc>
      </w:tr>
      <w:tr>
        <w:trPr>
          <w:trHeight w:val="274"/>
        </w:trPr>
        <w:tc>
          <w:tcPr>
            <w:tcW w:w="7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Base Building Design Drawings sent to Tenant for comment</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November 30, 2018</w:t>
            </w:r>
          </w:p>
        </w:tc>
      </w:tr>
      <w:tr>
        <w:trPr>
          <w:trHeight w:val="206"/>
        </w:trPr>
        <w:tc>
          <w:tcPr>
            <w:tcW w:w="7020" w:type="dxa"/>
            <w:vAlign w:val="bottom"/>
            <w:tcBorders>
              <w:left w:val="single" w:sz="8" w:color="auto"/>
              <w:bottom w:val="single" w:sz="8" w:color="auto"/>
              <w:right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spacing w:after="0"/>
              <w:rPr>
                <w:sz w:val="17"/>
                <w:szCs w:val="17"/>
                <w:color w:val="auto"/>
              </w:rPr>
            </w:pPr>
          </w:p>
        </w:tc>
      </w:tr>
      <w:tr>
        <w:trPr>
          <w:trHeight w:val="263"/>
        </w:trPr>
        <w:tc>
          <w:tcPr>
            <w:tcW w:w="7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Deadline for completing Final Base Building Design Drawings</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December 18, 2018</w:t>
            </w:r>
          </w:p>
        </w:tc>
      </w:tr>
      <w:tr>
        <w:trPr>
          <w:trHeight w:val="176"/>
        </w:trPr>
        <w:tc>
          <w:tcPr>
            <w:tcW w:w="7020" w:type="dxa"/>
            <w:vAlign w:val="bottom"/>
            <w:tcBorders>
              <w:left w:val="single" w:sz="8" w:color="auto"/>
              <w:bottom w:val="single" w:sz="8" w:color="auto"/>
              <w:right w:val="single" w:sz="8" w:color="auto"/>
            </w:tcBorders>
          </w:tcPr>
          <w:p>
            <w:pPr>
              <w:spacing w:after="0"/>
              <w:rPr>
                <w:sz w:val="15"/>
                <w:szCs w:val="15"/>
                <w:color w:val="auto"/>
              </w:rPr>
            </w:pPr>
          </w:p>
        </w:tc>
        <w:tc>
          <w:tcPr>
            <w:tcW w:w="4400" w:type="dxa"/>
            <w:vAlign w:val="bottom"/>
            <w:tcBorders>
              <w:bottom w:val="single" w:sz="8" w:color="auto"/>
              <w:right w:val="single" w:sz="8" w:color="auto"/>
            </w:tcBorders>
          </w:tcPr>
          <w:p>
            <w:pPr>
              <w:spacing w:after="0"/>
              <w:rPr>
                <w:sz w:val="15"/>
                <w:szCs w:val="15"/>
                <w:color w:val="auto"/>
              </w:rPr>
            </w:pPr>
          </w:p>
        </w:tc>
      </w:tr>
      <w:tr>
        <w:trPr>
          <w:trHeight w:val="263"/>
        </w:trPr>
        <w:tc>
          <w:tcPr>
            <w:tcW w:w="7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Deadline for completing Final Base Building Construction Drawings</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May 9, 2019</w:t>
            </w:r>
          </w:p>
        </w:tc>
      </w:tr>
      <w:tr>
        <w:trPr>
          <w:trHeight w:val="176"/>
        </w:trPr>
        <w:tc>
          <w:tcPr>
            <w:tcW w:w="7020" w:type="dxa"/>
            <w:vAlign w:val="bottom"/>
            <w:tcBorders>
              <w:left w:val="single" w:sz="8" w:color="auto"/>
              <w:bottom w:val="single" w:sz="8" w:color="auto"/>
              <w:right w:val="single" w:sz="8" w:color="auto"/>
            </w:tcBorders>
          </w:tcPr>
          <w:p>
            <w:pPr>
              <w:spacing w:after="0"/>
              <w:rPr>
                <w:sz w:val="15"/>
                <w:szCs w:val="15"/>
                <w:color w:val="auto"/>
              </w:rPr>
            </w:pPr>
          </w:p>
        </w:tc>
        <w:tc>
          <w:tcPr>
            <w:tcW w:w="4400" w:type="dxa"/>
            <w:vAlign w:val="bottom"/>
            <w:tcBorders>
              <w:bottom w:val="single" w:sz="8" w:color="auto"/>
              <w:right w:val="single" w:sz="8" w:color="auto"/>
            </w:tcBorders>
          </w:tcPr>
          <w:p>
            <w:pPr>
              <w:spacing w:after="0"/>
              <w:rPr>
                <w:sz w:val="15"/>
                <w:szCs w:val="15"/>
                <w:color w:val="auto"/>
              </w:rPr>
            </w:pPr>
          </w:p>
        </w:tc>
      </w:tr>
      <w:tr>
        <w:trPr>
          <w:trHeight w:val="263"/>
        </w:trPr>
        <w:tc>
          <w:tcPr>
            <w:tcW w:w="7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Base Building Permit issued</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July 31, 2019</w:t>
            </w:r>
          </w:p>
        </w:tc>
      </w:tr>
      <w:tr>
        <w:trPr>
          <w:trHeight w:val="176"/>
        </w:trPr>
        <w:tc>
          <w:tcPr>
            <w:tcW w:w="7020" w:type="dxa"/>
            <w:vAlign w:val="bottom"/>
            <w:tcBorders>
              <w:left w:val="single" w:sz="8" w:color="auto"/>
              <w:bottom w:val="single" w:sz="8" w:color="auto"/>
              <w:right w:val="single" w:sz="8" w:color="auto"/>
            </w:tcBorders>
          </w:tcPr>
          <w:p>
            <w:pPr>
              <w:spacing w:after="0"/>
              <w:rPr>
                <w:sz w:val="15"/>
                <w:szCs w:val="15"/>
                <w:color w:val="auto"/>
              </w:rPr>
            </w:pPr>
          </w:p>
        </w:tc>
        <w:tc>
          <w:tcPr>
            <w:tcW w:w="4400" w:type="dxa"/>
            <w:vAlign w:val="bottom"/>
            <w:tcBorders>
              <w:bottom w:val="single" w:sz="8" w:color="auto"/>
              <w:right w:val="single" w:sz="8" w:color="auto"/>
            </w:tcBorders>
          </w:tcPr>
          <w:p>
            <w:pPr>
              <w:spacing w:after="0"/>
              <w:rPr>
                <w:sz w:val="15"/>
                <w:szCs w:val="15"/>
                <w:color w:val="auto"/>
              </w:rPr>
            </w:pPr>
          </w:p>
        </w:tc>
      </w:tr>
      <w:tr>
        <w:trPr>
          <w:trHeight w:val="263"/>
        </w:trPr>
        <w:tc>
          <w:tcPr>
            <w:tcW w:w="7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Landlord begins performance of Base Building Work</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August 31, 2019</w:t>
            </w:r>
          </w:p>
        </w:tc>
      </w:tr>
      <w:tr>
        <w:trPr>
          <w:trHeight w:val="176"/>
        </w:trPr>
        <w:tc>
          <w:tcPr>
            <w:tcW w:w="7020" w:type="dxa"/>
            <w:vAlign w:val="bottom"/>
            <w:tcBorders>
              <w:left w:val="single" w:sz="8" w:color="auto"/>
              <w:bottom w:val="single" w:sz="8" w:color="auto"/>
              <w:right w:val="single" w:sz="8" w:color="auto"/>
            </w:tcBorders>
          </w:tcPr>
          <w:p>
            <w:pPr>
              <w:spacing w:after="0"/>
              <w:rPr>
                <w:sz w:val="15"/>
                <w:szCs w:val="15"/>
                <w:color w:val="auto"/>
              </w:rPr>
            </w:pPr>
          </w:p>
        </w:tc>
        <w:tc>
          <w:tcPr>
            <w:tcW w:w="4400" w:type="dxa"/>
            <w:vAlign w:val="bottom"/>
            <w:tcBorders>
              <w:bottom w:val="single" w:sz="8" w:color="auto"/>
              <w:right w:val="single" w:sz="8" w:color="auto"/>
            </w:tcBorders>
          </w:tcPr>
          <w:p>
            <w:pPr>
              <w:spacing w:after="0"/>
              <w:rPr>
                <w:sz w:val="15"/>
                <w:szCs w:val="15"/>
                <w:color w:val="auto"/>
              </w:rPr>
            </w:pPr>
          </w:p>
        </w:tc>
      </w:tr>
      <w:tr>
        <w:trPr>
          <w:trHeight w:val="263"/>
        </w:trPr>
        <w:tc>
          <w:tcPr>
            <w:tcW w:w="7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Completion of erection of structural steel for Base Building</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April 30, 2020</w:t>
            </w:r>
          </w:p>
        </w:tc>
      </w:tr>
      <w:tr>
        <w:trPr>
          <w:trHeight w:val="176"/>
        </w:trPr>
        <w:tc>
          <w:tcPr>
            <w:tcW w:w="7020" w:type="dxa"/>
            <w:vAlign w:val="bottom"/>
            <w:tcBorders>
              <w:left w:val="single" w:sz="8" w:color="auto"/>
              <w:bottom w:val="single" w:sz="8" w:color="auto"/>
              <w:right w:val="single" w:sz="8" w:color="auto"/>
            </w:tcBorders>
          </w:tcPr>
          <w:p>
            <w:pPr>
              <w:spacing w:after="0"/>
              <w:rPr>
                <w:sz w:val="15"/>
                <w:szCs w:val="15"/>
                <w:color w:val="auto"/>
              </w:rPr>
            </w:pPr>
          </w:p>
        </w:tc>
        <w:tc>
          <w:tcPr>
            <w:tcW w:w="4400" w:type="dxa"/>
            <w:vAlign w:val="bottom"/>
            <w:tcBorders>
              <w:bottom w:val="single" w:sz="8" w:color="auto"/>
              <w:right w:val="single" w:sz="8" w:color="auto"/>
            </w:tcBorders>
          </w:tcPr>
          <w:p>
            <w:pPr>
              <w:spacing w:after="0"/>
              <w:rPr>
                <w:sz w:val="15"/>
                <w:szCs w:val="15"/>
                <w:color w:val="auto"/>
              </w:rPr>
            </w:pPr>
          </w:p>
        </w:tc>
      </w:tr>
      <w:tr>
        <w:trPr>
          <w:trHeight w:val="263"/>
        </w:trPr>
        <w:tc>
          <w:tcPr>
            <w:tcW w:w="7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Turnover Condition Date (i.e., date on which Building is watertight)</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June 30, 2020</w:t>
            </w:r>
          </w:p>
        </w:tc>
      </w:tr>
      <w:tr>
        <w:trPr>
          <w:trHeight w:val="176"/>
        </w:trPr>
        <w:tc>
          <w:tcPr>
            <w:tcW w:w="7020" w:type="dxa"/>
            <w:vAlign w:val="bottom"/>
            <w:tcBorders>
              <w:left w:val="single" w:sz="8" w:color="auto"/>
              <w:bottom w:val="single" w:sz="8" w:color="auto"/>
              <w:right w:val="single" w:sz="8" w:color="auto"/>
            </w:tcBorders>
          </w:tcPr>
          <w:p>
            <w:pPr>
              <w:spacing w:after="0"/>
              <w:rPr>
                <w:sz w:val="15"/>
                <w:szCs w:val="15"/>
                <w:color w:val="auto"/>
              </w:rPr>
            </w:pPr>
          </w:p>
        </w:tc>
        <w:tc>
          <w:tcPr>
            <w:tcW w:w="4400" w:type="dxa"/>
            <w:vAlign w:val="bottom"/>
            <w:tcBorders>
              <w:bottom w:val="single" w:sz="8" w:color="auto"/>
              <w:right w:val="single" w:sz="8" w:color="auto"/>
            </w:tcBorders>
          </w:tcPr>
          <w:p>
            <w:pPr>
              <w:spacing w:after="0"/>
              <w:rPr>
                <w:sz w:val="15"/>
                <w:szCs w:val="15"/>
                <w:color w:val="auto"/>
              </w:rPr>
            </w:pPr>
          </w:p>
        </w:tc>
      </w:tr>
      <w:tr>
        <w:trPr>
          <w:trHeight w:val="263"/>
        </w:trPr>
        <w:tc>
          <w:tcPr>
            <w:tcW w:w="7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Substantial Completion of Base Building Work</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September 30, 2020</w:t>
            </w:r>
          </w:p>
        </w:tc>
      </w:tr>
      <w:tr>
        <w:trPr>
          <w:trHeight w:val="176"/>
        </w:trPr>
        <w:tc>
          <w:tcPr>
            <w:tcW w:w="7020" w:type="dxa"/>
            <w:vAlign w:val="bottom"/>
            <w:tcBorders>
              <w:left w:val="single" w:sz="8" w:color="auto"/>
              <w:bottom w:val="single" w:sz="8" w:color="auto"/>
              <w:right w:val="single" w:sz="8" w:color="auto"/>
            </w:tcBorders>
          </w:tcPr>
          <w:p>
            <w:pPr>
              <w:spacing w:after="0"/>
              <w:rPr>
                <w:sz w:val="15"/>
                <w:szCs w:val="15"/>
                <w:color w:val="auto"/>
              </w:rPr>
            </w:pPr>
          </w:p>
        </w:tc>
        <w:tc>
          <w:tcPr>
            <w:tcW w:w="440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22215181-v8</w:t>
      </w:r>
    </w:p>
    <w:p>
      <w:pPr>
        <w:sectPr>
          <w:pgSz w:w="11900" w:h="16838" w:orient="portrait"/>
          <w:cols w:equalWidth="0" w:num="1">
            <w:col w:w="11400"/>
          </w:cols>
          <w:pgMar w:left="240" w:top="339" w:right="259" w:bottom="1440" w:gutter="0" w:footer="0" w:header="0"/>
        </w:sectPr>
      </w:pPr>
    </w:p>
    <w:bookmarkStart w:id="63" w:name="page64"/>
    <w:bookmarkEnd w:id="63"/>
    <w:p>
      <w:pPr>
        <w:ind w:left="10200"/>
        <w:spacing w:after="0"/>
        <w:rPr>
          <w:sz w:val="20"/>
          <w:szCs w:val="20"/>
          <w:color w:val="auto"/>
        </w:rPr>
      </w:pPr>
      <w:r>
        <w:rPr>
          <w:rFonts w:ascii="Arial" w:cs="Arial" w:eastAsia="Arial" w:hAnsi="Arial"/>
          <w:sz w:val="19"/>
          <w:szCs w:val="19"/>
          <w:b w:val="1"/>
          <w:bCs w:val="1"/>
          <w:color w:val="auto"/>
        </w:rPr>
        <w:t>EXHIBIT 10.4</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LEASE AGREEMENT</w:t>
      </w:r>
    </w:p>
    <w:p>
      <w:pPr>
        <w:spacing w:after="0" w:line="21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b w:val="1"/>
          <w:bCs w:val="1"/>
          <w:color w:val="auto"/>
        </w:rPr>
        <w:t xml:space="preserve">THIS FIRST AMENDMENT TO LEASE AGREEMENT </w:t>
      </w:r>
      <w:r>
        <w:rPr>
          <w:rFonts w:ascii="Arial" w:cs="Arial" w:eastAsia="Arial" w:hAnsi="Arial"/>
          <w:sz w:val="20"/>
          <w:szCs w:val="20"/>
          <w:color w:val="auto"/>
        </w:rPr>
        <w:t>(“</w:t>
      </w:r>
      <w:r>
        <w:rPr>
          <w:rFonts w:ascii="Arial" w:cs="Arial" w:eastAsia="Arial" w:hAnsi="Arial"/>
          <w:sz w:val="20"/>
          <w:szCs w:val="20"/>
          <w:b w:val="1"/>
          <w:bCs w:val="1"/>
          <w:color w:val="auto"/>
        </w:rPr>
        <w:t>this First Amendment</w:t>
      </w:r>
      <w:r>
        <w:rPr>
          <w:rFonts w:ascii="Arial" w:cs="Arial" w:eastAsia="Arial" w:hAnsi="Arial"/>
          <w:sz w:val="20"/>
          <w:szCs w:val="20"/>
          <w:color w:val="auto"/>
        </w:rPr>
        <w:t>”) is dated as of April 23, 2019</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ARE-MARYLAND NO. 24, LLC</w:t>
      </w:r>
      <w:r>
        <w:rPr>
          <w:rFonts w:ascii="Arial" w:cs="Arial" w:eastAsia="Arial" w:hAnsi="Arial"/>
          <w:sz w:val="20"/>
          <w:szCs w:val="20"/>
          <w:color w:val="auto"/>
        </w:rPr>
        <w:t>, a Delaware limited liability company, having an address at 385 E. Colorado Boulevard, Suite 299, Pasadena, California 91101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REGENXBIO INC.</w:t>
      </w:r>
      <w:r>
        <w:rPr>
          <w:rFonts w:ascii="Arial" w:cs="Arial" w:eastAsia="Arial" w:hAnsi="Arial"/>
          <w:sz w:val="20"/>
          <w:szCs w:val="20"/>
          <w:color w:val="auto"/>
        </w:rPr>
        <w:t>, a Delaware corporation, having an address at Suite 210, 9600 Blackwell Road, Rockville, Maryland 20850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18" w:lineRule="exact"/>
        <w:rPr>
          <w:sz w:val="20"/>
          <w:szCs w:val="20"/>
          <w:color w:val="auto"/>
        </w:rPr>
      </w:pPr>
    </w:p>
    <w:p>
      <w:pPr>
        <w:jc w:val="both"/>
        <w:ind w:firstLine="885"/>
        <w:spacing w:after="0" w:line="239" w:lineRule="auto"/>
        <w:tabs>
          <w:tab w:leader="none" w:pos="1713" w:val="left"/>
        </w:tabs>
        <w:numPr>
          <w:ilvl w:val="0"/>
          <w:numId w:val="45"/>
        </w:numPr>
        <w:rPr>
          <w:rFonts w:ascii="Arial" w:cs="Arial" w:eastAsia="Arial" w:hAnsi="Arial"/>
          <w:sz w:val="20"/>
          <w:szCs w:val="20"/>
          <w:color w:val="auto"/>
        </w:rPr>
      </w:pPr>
      <w:r>
        <w:rPr>
          <w:rFonts w:ascii="Arial" w:cs="Arial" w:eastAsia="Arial" w:hAnsi="Arial"/>
          <w:sz w:val="20"/>
          <w:szCs w:val="20"/>
          <w:color w:val="auto"/>
        </w:rPr>
        <w:t>Landlord and Tenant have entered into that certain Lease Agreement dated as of November 1, 2018, as amended (collectively, the “</w:t>
      </w:r>
      <w:r>
        <w:rPr>
          <w:rFonts w:ascii="Arial" w:cs="Arial" w:eastAsia="Arial" w:hAnsi="Arial"/>
          <w:sz w:val="20"/>
          <w:szCs w:val="20"/>
          <w:b w:val="1"/>
          <w:bCs w:val="1"/>
          <w:color w:val="auto"/>
        </w:rPr>
        <w:t>Lease</w:t>
      </w:r>
      <w:r>
        <w:rPr>
          <w:rFonts w:ascii="Arial" w:cs="Arial" w:eastAsia="Arial" w:hAnsi="Arial"/>
          <w:sz w:val="20"/>
          <w:szCs w:val="20"/>
          <w:color w:val="auto"/>
        </w:rPr>
        <w:t>”), wherein Landlord leased to Tenant certain premises containing approximately 132,487 rentable square feet (“</w:t>
      </w:r>
      <w:r>
        <w:rPr>
          <w:rFonts w:ascii="Arial" w:cs="Arial" w:eastAsia="Arial" w:hAnsi="Arial"/>
          <w:sz w:val="20"/>
          <w:szCs w:val="20"/>
          <w:b w:val="1"/>
          <w:bCs w:val="1"/>
          <w:color w:val="auto"/>
        </w:rPr>
        <w:t>Original Premises</w:t>
      </w:r>
      <w:r>
        <w:rPr>
          <w:rFonts w:ascii="Arial" w:cs="Arial" w:eastAsia="Arial" w:hAnsi="Arial"/>
          <w:sz w:val="20"/>
          <w:szCs w:val="20"/>
          <w:color w:val="auto"/>
        </w:rPr>
        <w:t>”) located at Suite 100, Building F, 9800 Medical Center Drive, Rockville, Maryland 20850, as more particularly described in the Lease.</w:t>
      </w:r>
    </w:p>
    <w:p>
      <w:pPr>
        <w:spacing w:after="0" w:line="177" w:lineRule="exact"/>
        <w:rPr>
          <w:rFonts w:ascii="Arial" w:cs="Arial" w:eastAsia="Arial" w:hAnsi="Arial"/>
          <w:sz w:val="20"/>
          <w:szCs w:val="20"/>
          <w:color w:val="auto"/>
        </w:rPr>
      </w:pPr>
    </w:p>
    <w:p>
      <w:pPr>
        <w:jc w:val="both"/>
        <w:ind w:firstLine="885"/>
        <w:spacing w:after="0" w:line="234" w:lineRule="auto"/>
        <w:tabs>
          <w:tab w:leader="none" w:pos="1713"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Landlord and Tenant desire to amend the Lease, among other things, to (i) expand the Original Premises by approximately 5,975 rentable square feet on the first floor of the Building as identified as the “REGENXBIO EXPANSION” on the page of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attached hereto labeled “1ST FLOOR BOMA PLAN” (“</w:t>
      </w:r>
      <w:r>
        <w:rPr>
          <w:rFonts w:ascii="Arial" w:cs="Arial" w:eastAsia="Arial" w:hAnsi="Arial"/>
          <w:sz w:val="20"/>
          <w:szCs w:val="20"/>
          <w:b w:val="1"/>
          <w:bCs w:val="1"/>
          <w:color w:val="auto"/>
        </w:rPr>
        <w:t>Expansion Premises</w:t>
      </w:r>
      <w:r>
        <w:rPr>
          <w:rFonts w:ascii="Arial" w:cs="Arial" w:eastAsia="Arial" w:hAnsi="Arial"/>
          <w:sz w:val="20"/>
          <w:szCs w:val="20"/>
          <w:color w:val="auto"/>
        </w:rPr>
        <w:t>”), (ii) adjust certain definitions contained in the Basic Lease Provisions to reflect the addition of the Expansion Premises, (iii) modify the amount of the TI Allowance based on certain re-measurements and the addition of the Expansion Premises, and (iv) eliminate the On Site Food Service Area, all on the terms and conditions set forth in this First Amendment.</w:t>
      </w:r>
    </w:p>
    <w:p>
      <w:pPr>
        <w:spacing w:after="0" w:line="179" w:lineRule="exact"/>
        <w:rPr>
          <w:sz w:val="20"/>
          <w:szCs w:val="20"/>
          <w:color w:val="auto"/>
        </w:rPr>
      </w:pPr>
    </w:p>
    <w:p>
      <w:pPr>
        <w:ind w:left="5080"/>
        <w:spacing w:after="0"/>
        <w:rPr>
          <w:sz w:val="20"/>
          <w:szCs w:val="20"/>
          <w:color w:val="auto"/>
        </w:rPr>
      </w:pPr>
      <w:r>
        <w:rPr>
          <w:rFonts w:ascii="Arial" w:cs="Arial" w:eastAsia="Arial" w:hAnsi="Arial"/>
          <w:sz w:val="20"/>
          <w:szCs w:val="20"/>
          <w:b w:val="1"/>
          <w:bCs w:val="1"/>
          <w:u w:val="single" w:color="auto"/>
          <w:color w:val="auto"/>
        </w:rPr>
        <w:t>AGREEMENT</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Now, therefore, the parties hereto agree that the Lease is amended as follows:</w:t>
      </w:r>
    </w:p>
    <w:p>
      <w:pPr>
        <w:spacing w:after="0" w:line="214" w:lineRule="exact"/>
        <w:rPr>
          <w:sz w:val="20"/>
          <w:szCs w:val="20"/>
          <w:color w:val="auto"/>
        </w:rPr>
      </w:pPr>
    </w:p>
    <w:p>
      <w:pPr>
        <w:ind w:firstLine="885"/>
        <w:spacing w:after="0" w:line="295" w:lineRule="auto"/>
        <w:tabs>
          <w:tab w:leader="none" w:pos="1691"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Definitions; Recitals</w:t>
      </w:r>
      <w:r>
        <w:rPr>
          <w:rFonts w:ascii="Arial" w:cs="Arial" w:eastAsia="Arial" w:hAnsi="Arial"/>
          <w:sz w:val="19"/>
          <w:szCs w:val="19"/>
          <w:color w:val="auto"/>
        </w:rPr>
        <w:t>. Terms used in this First Amendment but not otherwise defined shall have the meanings</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in the Lease. The Recitals form an integral part of this First Amendment and are hereby incorporated by reference.</w:t>
      </w:r>
    </w:p>
    <w:p>
      <w:pPr>
        <w:spacing w:after="0" w:line="124" w:lineRule="exact"/>
        <w:rPr>
          <w:rFonts w:ascii="Arial" w:cs="Arial" w:eastAsia="Arial" w:hAnsi="Arial"/>
          <w:sz w:val="19"/>
          <w:szCs w:val="19"/>
          <w:color w:val="auto"/>
        </w:rPr>
      </w:pPr>
    </w:p>
    <w:p>
      <w:pPr>
        <w:jc w:val="both"/>
        <w:ind w:firstLine="885"/>
        <w:spacing w:after="0" w:line="236" w:lineRule="auto"/>
        <w:tabs>
          <w:tab w:leader="none" w:pos="1691"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Expansion of Premises</w:t>
      </w:r>
      <w:r>
        <w:rPr>
          <w:rFonts w:ascii="Arial" w:cs="Arial" w:eastAsia="Arial" w:hAnsi="Arial"/>
          <w:sz w:val="20"/>
          <w:szCs w:val="20"/>
          <w:color w:val="auto"/>
        </w:rPr>
        <w:t>. Effective as of the Effective Date, (i) the Original Premises shall be expanded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include the Expansion Premises, (ii)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to this First Amendment, which depicts the Expansion Premises, the balance of the Premises, and Landlord’s management office on the first (1</w:t>
      </w:r>
      <w:r>
        <w:rPr>
          <w:rFonts w:ascii="Arial" w:cs="Arial" w:eastAsia="Arial" w:hAnsi="Arial"/>
          <w:sz w:val="16"/>
          <w:szCs w:val="16"/>
          <w:color w:val="auto"/>
        </w:rPr>
        <w:t>st</w:t>
      </w:r>
      <w:r>
        <w:rPr>
          <w:rFonts w:ascii="Arial" w:cs="Arial" w:eastAsia="Arial" w:hAnsi="Arial"/>
          <w:sz w:val="20"/>
          <w:szCs w:val="20"/>
          <w:color w:val="auto"/>
        </w:rPr>
        <w:t xml:space="preserve">) floor of the Building (identified as “ARE” on the page of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attached hereto labeled “1ST FLOOR BOMA PLAN”), hereby replaces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to the Lease, and (iii) the following amendments are hereby made to the definitions contained in the Basic Lease Provisions:</w:t>
      </w:r>
    </w:p>
    <w:p>
      <w:pPr>
        <w:spacing w:after="0" w:line="179"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The section of the Basic Lease Provisions of the Lease entitled, “</w:t>
      </w:r>
      <w:r>
        <w:rPr>
          <w:rFonts w:ascii="Arial" w:cs="Arial" w:eastAsia="Arial" w:hAnsi="Arial"/>
          <w:sz w:val="19"/>
          <w:szCs w:val="19"/>
          <w:b w:val="1"/>
          <w:bCs w:val="1"/>
          <w:color w:val="auto"/>
        </w:rPr>
        <w:t>Premises</w:t>
      </w:r>
      <w:r>
        <w:rPr>
          <w:rFonts w:ascii="Arial" w:cs="Arial" w:eastAsia="Arial" w:hAnsi="Arial"/>
          <w:sz w:val="19"/>
          <w:szCs w:val="19"/>
          <w:color w:val="auto"/>
        </w:rPr>
        <w:t>”, is hereby amended by</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(i) deleting the first (1</w:t>
      </w:r>
      <w:r>
        <w:rPr>
          <w:rFonts w:ascii="Arial" w:cs="Arial" w:eastAsia="Arial" w:hAnsi="Arial"/>
          <w:sz w:val="16"/>
          <w:szCs w:val="16"/>
          <w:color w:val="auto"/>
        </w:rPr>
        <w:t>st</w:t>
      </w:r>
      <w:r>
        <w:rPr>
          <w:rFonts w:ascii="Arial" w:cs="Arial" w:eastAsia="Arial" w:hAnsi="Arial"/>
          <w:sz w:val="20"/>
          <w:szCs w:val="20"/>
          <w:color w:val="auto"/>
        </w:rPr>
        <w:t>) paragraph thereof in its entirety and replacing it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340"/>
        <w:spacing w:after="0"/>
        <w:tabs>
          <w:tab w:leader="none" w:pos="7780" w:val="left"/>
          <w:tab w:leader="none" w:pos="10500" w:val="left"/>
        </w:tabs>
        <w:rPr>
          <w:sz w:val="20"/>
          <w:szCs w:val="20"/>
          <w:color w:val="auto"/>
        </w:rPr>
      </w:pPr>
      <w:r>
        <w:rPr>
          <w:rFonts w:ascii="Arial" w:cs="Arial" w:eastAsia="Arial" w:hAnsi="Arial"/>
          <w:sz w:val="14"/>
          <w:szCs w:val="14"/>
          <w:color w:val="auto"/>
        </w:rPr>
        <w:t>Copyright © 2012.</w:t>
        <w:tab/>
        <w:t>Alexandria Real Estate Equities, Inc.</w:t>
        <w:tab/>
        <w:t>ALL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702945" cy="248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02945" cy="248920"/>
                    </a:xfrm>
                    <a:prstGeom prst="rect">
                      <a:avLst/>
                    </a:prstGeom>
                    <a:noFill/>
                  </pic:spPr>
                </pic:pic>
              </a:graphicData>
            </a:graphic>
          </wp:anchor>
        </w:drawing>
      </w:r>
    </w:p>
    <w:p>
      <w:pPr>
        <w:jc w:val="both"/>
        <w:ind w:left="6340"/>
        <w:spacing w:after="0" w:line="241" w:lineRule="auto"/>
        <w:rPr>
          <w:sz w:val="20"/>
          <w:szCs w:val="20"/>
          <w:color w:val="auto"/>
        </w:rPr>
      </w:pPr>
      <w:r>
        <w:rPr>
          <w:rFonts w:ascii="Arial" w:cs="Arial" w:eastAsia="Arial" w:hAnsi="Arial"/>
          <w:sz w:val="14"/>
          <w:szCs w:val="14"/>
          <w:color w:val="auto"/>
        </w:rPr>
        <w:t>RESERVED. Confidential and Proprietary. Do Not Copy or Distribute. Alexandria and Alexandria Logo are registered trademarks of Alexandria Real Estate Equities,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46154413-v4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64" w:name="page65"/>
    <w:bookmarkEnd w:id="64"/>
    <w:p>
      <w:pPr>
        <w:spacing w:after="0"/>
        <w:tabs>
          <w:tab w:leader="none" w:pos="10780" w:val="left"/>
        </w:tabs>
        <w:rPr>
          <w:sz w:val="20"/>
          <w:szCs w:val="20"/>
          <w:color w:val="auto"/>
        </w:rPr>
      </w:pPr>
      <w:r>
        <w:rPr>
          <w:rFonts w:ascii="Arial" w:cs="Arial" w:eastAsia="Arial" w:hAnsi="Arial"/>
          <w:sz w:val="16"/>
          <w:szCs w:val="16"/>
          <w:b w:val="1"/>
          <w:bCs w:val="1"/>
          <w:color w:val="auto"/>
        </w:rPr>
        <w:t>First Amendment to Lease Agreement –-RegenXBio Inc.</w:t>
      </w:r>
      <w:r>
        <w:rPr>
          <w:sz w:val="20"/>
          <w:szCs w:val="20"/>
          <w:color w:val="auto"/>
        </w:rPr>
        <w:tab/>
      </w:r>
      <w:r>
        <w:rPr>
          <w:rFonts w:ascii="Arial" w:cs="Arial" w:eastAsia="Arial" w:hAnsi="Arial"/>
          <w:sz w:val="16"/>
          <w:szCs w:val="16"/>
          <w:b w:val="1"/>
          <w:bCs w:val="1"/>
          <w:color w:val="auto"/>
        </w:rPr>
        <w:t xml:space="preserve">Page - </w:t>
      </w:r>
      <w:r>
        <w:rPr>
          <w:rFonts w:ascii="Arial" w:cs="Arial" w:eastAsia="Arial" w:hAnsi="Arial"/>
          <w:sz w:val="16"/>
          <w:szCs w:val="16"/>
          <w:color w:val="auto"/>
        </w:rPr>
        <w:t>2</w:t>
      </w:r>
    </w:p>
    <w:p>
      <w:pPr>
        <w:spacing w:after="0" w:line="212" w:lineRule="exact"/>
        <w:rPr>
          <w:sz w:val="20"/>
          <w:szCs w:val="20"/>
          <w:color w:val="auto"/>
        </w:rPr>
      </w:pPr>
    </w:p>
    <w:p>
      <w:pPr>
        <w:jc w:val="both"/>
        <w:ind w:left="2640"/>
        <w:spacing w:after="0" w:line="231" w:lineRule="auto"/>
        <w:rPr>
          <w:sz w:val="20"/>
          <w:szCs w:val="20"/>
          <w:color w:val="auto"/>
        </w:rPr>
      </w:pPr>
      <w:r>
        <w:rPr>
          <w:rFonts w:ascii="Arial" w:cs="Arial" w:eastAsia="Arial" w:hAnsi="Arial"/>
          <w:sz w:val="20"/>
          <w:szCs w:val="20"/>
          <w:color w:val="auto"/>
        </w:rPr>
        <w:t xml:space="preserve">That portion of the Project, containing approximately 139,281 rentable square feet, as determined by Landlord, as shown as the hatched area on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Premises consist of the following, all of which are depicted on </w:t>
      </w:r>
      <w:r>
        <w:rPr>
          <w:rFonts w:ascii="Arial" w:cs="Arial" w:eastAsia="Arial" w:hAnsi="Arial"/>
          <w:sz w:val="20"/>
          <w:szCs w:val="20"/>
          <w:b w:val="1"/>
          <w:bCs w:val="1"/>
          <w:color w:val="auto"/>
        </w:rPr>
        <w:t>Exhibit A</w:t>
      </w:r>
      <w:r>
        <w:rPr>
          <w:rFonts w:ascii="Arial" w:cs="Arial" w:eastAsia="Arial" w:hAnsi="Arial"/>
          <w:sz w:val="20"/>
          <w:szCs w:val="20"/>
          <w:color w:val="auto"/>
        </w:rPr>
        <w:t>: (i) approximately 12,712 rentable square feet located on the first floor of the Building (“</w:t>
      </w:r>
      <w:r>
        <w:rPr>
          <w:rFonts w:ascii="Arial" w:cs="Arial" w:eastAsia="Arial" w:hAnsi="Arial"/>
          <w:sz w:val="20"/>
          <w:szCs w:val="20"/>
          <w:b w:val="1"/>
          <w:bCs w:val="1"/>
          <w:color w:val="auto"/>
        </w:rPr>
        <w:t>1</w:t>
      </w:r>
      <w:r>
        <w:rPr>
          <w:rFonts w:ascii="Arial" w:cs="Arial" w:eastAsia="Arial" w:hAnsi="Arial"/>
          <w:sz w:val="16"/>
          <w:szCs w:val="16"/>
          <w:b w:val="1"/>
          <w:bCs w:val="1"/>
          <w:color w:val="auto"/>
        </w:rPr>
        <w:t>st</w:t>
      </w:r>
      <w:r>
        <w:rPr>
          <w:rFonts w:ascii="Arial" w:cs="Arial" w:eastAsia="Arial" w:hAnsi="Arial"/>
          <w:sz w:val="20"/>
          <w:szCs w:val="20"/>
          <w:color w:val="auto"/>
        </w:rPr>
        <w:t xml:space="preserve"> </w:t>
      </w:r>
      <w:r>
        <w:rPr>
          <w:rFonts w:ascii="Arial" w:cs="Arial" w:eastAsia="Arial" w:hAnsi="Arial"/>
          <w:sz w:val="20"/>
          <w:szCs w:val="20"/>
          <w:b w:val="1"/>
          <w:bCs w:val="1"/>
          <w:color w:val="auto"/>
        </w:rPr>
        <w:t>Floor Premises</w:t>
      </w:r>
      <w:r>
        <w:rPr>
          <w:rFonts w:ascii="Arial" w:cs="Arial" w:eastAsia="Arial" w:hAnsi="Arial"/>
          <w:sz w:val="20"/>
          <w:szCs w:val="20"/>
          <w:color w:val="auto"/>
        </w:rPr>
        <w:t>”), (ii) approximately 40,198 rentable square feet located on the third floor of the Building (“</w:t>
      </w:r>
      <w:r>
        <w:rPr>
          <w:rFonts w:ascii="Arial" w:cs="Arial" w:eastAsia="Arial" w:hAnsi="Arial"/>
          <w:sz w:val="20"/>
          <w:szCs w:val="20"/>
          <w:b w:val="1"/>
          <w:bCs w:val="1"/>
          <w:color w:val="auto"/>
        </w:rPr>
        <w:t>3</w:t>
      </w:r>
      <w:r>
        <w:rPr>
          <w:rFonts w:ascii="Arial" w:cs="Arial" w:eastAsia="Arial" w:hAnsi="Arial"/>
          <w:sz w:val="16"/>
          <w:szCs w:val="16"/>
          <w:b w:val="1"/>
          <w:bCs w:val="1"/>
          <w:color w:val="auto"/>
        </w:rPr>
        <w:t>rd</w:t>
      </w:r>
      <w:r>
        <w:rPr>
          <w:rFonts w:ascii="Arial" w:cs="Arial" w:eastAsia="Arial" w:hAnsi="Arial"/>
          <w:sz w:val="20"/>
          <w:szCs w:val="20"/>
          <w:color w:val="auto"/>
        </w:rPr>
        <w:t xml:space="preserve"> </w:t>
      </w:r>
      <w:r>
        <w:rPr>
          <w:rFonts w:ascii="Arial" w:cs="Arial" w:eastAsia="Arial" w:hAnsi="Arial"/>
          <w:sz w:val="20"/>
          <w:szCs w:val="20"/>
          <w:b w:val="1"/>
          <w:bCs w:val="1"/>
          <w:color w:val="auto"/>
        </w:rPr>
        <w:t>Floor Premises</w:t>
      </w:r>
      <w:r>
        <w:rPr>
          <w:rFonts w:ascii="Arial" w:cs="Arial" w:eastAsia="Arial" w:hAnsi="Arial"/>
          <w:sz w:val="20"/>
          <w:szCs w:val="20"/>
          <w:color w:val="auto"/>
        </w:rPr>
        <w:t>”), (iii) approximately 40,198 rentable square feet located on the 4</w:t>
      </w:r>
      <w:r>
        <w:rPr>
          <w:rFonts w:ascii="Arial" w:cs="Arial" w:eastAsia="Arial" w:hAnsi="Arial"/>
          <w:sz w:val="16"/>
          <w:szCs w:val="16"/>
          <w:color w:val="auto"/>
        </w:rPr>
        <w:t>th</w:t>
      </w:r>
      <w:r>
        <w:rPr>
          <w:rFonts w:ascii="Arial" w:cs="Arial" w:eastAsia="Arial" w:hAnsi="Arial"/>
          <w:sz w:val="20"/>
          <w:szCs w:val="20"/>
          <w:color w:val="auto"/>
        </w:rPr>
        <w:t xml:space="preserve"> floor of the Building (“</w:t>
      </w:r>
      <w:r>
        <w:rPr>
          <w:rFonts w:ascii="Arial" w:cs="Arial" w:eastAsia="Arial" w:hAnsi="Arial"/>
          <w:sz w:val="20"/>
          <w:szCs w:val="20"/>
          <w:b w:val="1"/>
          <w:bCs w:val="1"/>
          <w:color w:val="auto"/>
        </w:rPr>
        <w:t>4</w:t>
      </w:r>
      <w:r>
        <w:rPr>
          <w:rFonts w:ascii="Arial" w:cs="Arial" w:eastAsia="Arial" w:hAnsi="Arial"/>
          <w:sz w:val="16"/>
          <w:szCs w:val="16"/>
          <w:b w:val="1"/>
          <w:bCs w:val="1"/>
          <w:color w:val="auto"/>
        </w:rPr>
        <w:t>th</w:t>
      </w:r>
      <w:r>
        <w:rPr>
          <w:rFonts w:ascii="Arial" w:cs="Arial" w:eastAsia="Arial" w:hAnsi="Arial"/>
          <w:sz w:val="20"/>
          <w:szCs w:val="20"/>
          <w:color w:val="auto"/>
        </w:rPr>
        <w:t xml:space="preserve"> </w:t>
      </w:r>
      <w:r>
        <w:rPr>
          <w:rFonts w:ascii="Arial" w:cs="Arial" w:eastAsia="Arial" w:hAnsi="Arial"/>
          <w:sz w:val="20"/>
          <w:szCs w:val="20"/>
          <w:b w:val="1"/>
          <w:bCs w:val="1"/>
          <w:color w:val="auto"/>
        </w:rPr>
        <w:t>Floor Premises</w:t>
      </w:r>
      <w:r>
        <w:rPr>
          <w:rFonts w:ascii="Arial" w:cs="Arial" w:eastAsia="Arial" w:hAnsi="Arial"/>
          <w:sz w:val="20"/>
          <w:szCs w:val="20"/>
          <w:color w:val="auto"/>
        </w:rPr>
        <w:t>”), (iv) approximately 40,198 rentable square feet located on the 5</w:t>
      </w:r>
      <w:r>
        <w:rPr>
          <w:rFonts w:ascii="Arial" w:cs="Arial" w:eastAsia="Arial" w:hAnsi="Arial"/>
          <w:sz w:val="16"/>
          <w:szCs w:val="16"/>
          <w:color w:val="auto"/>
        </w:rPr>
        <w:t>th</w:t>
      </w:r>
      <w:r>
        <w:rPr>
          <w:rFonts w:ascii="Arial" w:cs="Arial" w:eastAsia="Arial" w:hAnsi="Arial"/>
          <w:sz w:val="20"/>
          <w:szCs w:val="20"/>
          <w:color w:val="auto"/>
        </w:rPr>
        <w:t xml:space="preserve"> floor of the Building (“</w:t>
      </w:r>
      <w:r>
        <w:rPr>
          <w:rFonts w:ascii="Arial" w:cs="Arial" w:eastAsia="Arial" w:hAnsi="Arial"/>
          <w:sz w:val="20"/>
          <w:szCs w:val="20"/>
          <w:b w:val="1"/>
          <w:bCs w:val="1"/>
          <w:color w:val="auto"/>
        </w:rPr>
        <w:t>5</w:t>
      </w:r>
      <w:r>
        <w:rPr>
          <w:rFonts w:ascii="Arial" w:cs="Arial" w:eastAsia="Arial" w:hAnsi="Arial"/>
          <w:sz w:val="16"/>
          <w:szCs w:val="16"/>
          <w:b w:val="1"/>
          <w:bCs w:val="1"/>
          <w:color w:val="auto"/>
        </w:rPr>
        <w:t>th</w:t>
      </w:r>
      <w:r>
        <w:rPr>
          <w:rFonts w:ascii="Arial" w:cs="Arial" w:eastAsia="Arial" w:hAnsi="Arial"/>
          <w:sz w:val="20"/>
          <w:szCs w:val="20"/>
          <w:color w:val="auto"/>
        </w:rPr>
        <w:t xml:space="preserve"> </w:t>
      </w:r>
      <w:r>
        <w:rPr>
          <w:rFonts w:ascii="Arial" w:cs="Arial" w:eastAsia="Arial" w:hAnsi="Arial"/>
          <w:sz w:val="20"/>
          <w:szCs w:val="20"/>
          <w:b w:val="1"/>
          <w:bCs w:val="1"/>
          <w:color w:val="auto"/>
        </w:rPr>
        <w:t>Floor Premises</w:t>
      </w:r>
      <w:r>
        <w:rPr>
          <w:rFonts w:ascii="Arial" w:cs="Arial" w:eastAsia="Arial" w:hAnsi="Arial"/>
          <w:sz w:val="20"/>
          <w:szCs w:val="20"/>
          <w:color w:val="auto"/>
        </w:rPr>
        <w:t>”), and (v) approximately 5,975 rentable square feet located on the first floor of the Building (“</w:t>
      </w:r>
      <w:r>
        <w:rPr>
          <w:rFonts w:ascii="Arial" w:cs="Arial" w:eastAsia="Arial" w:hAnsi="Arial"/>
          <w:sz w:val="20"/>
          <w:szCs w:val="20"/>
          <w:b w:val="1"/>
          <w:bCs w:val="1"/>
          <w:color w:val="auto"/>
        </w:rPr>
        <w:t>Expansion</w:t>
      </w:r>
      <w:r>
        <w:rPr>
          <w:rFonts w:ascii="Arial" w:cs="Arial" w:eastAsia="Arial" w:hAnsi="Arial"/>
          <w:sz w:val="20"/>
          <w:szCs w:val="20"/>
          <w:color w:val="auto"/>
        </w:rPr>
        <w:t xml:space="preserve"> </w:t>
      </w:r>
      <w:r>
        <w:rPr>
          <w:rFonts w:ascii="Arial" w:cs="Arial" w:eastAsia="Arial" w:hAnsi="Arial"/>
          <w:sz w:val="20"/>
          <w:szCs w:val="20"/>
          <w:b w:val="1"/>
          <w:bCs w:val="1"/>
          <w:color w:val="auto"/>
        </w:rPr>
        <w:t>Premises</w:t>
      </w:r>
      <w:r>
        <w:rPr>
          <w:rFonts w:ascii="Arial" w:cs="Arial" w:eastAsia="Arial" w:hAnsi="Arial"/>
          <w:sz w:val="20"/>
          <w:szCs w:val="20"/>
          <w:color w:val="auto"/>
        </w:rPr>
        <w:t>”). The 1</w:t>
      </w:r>
      <w:r>
        <w:rPr>
          <w:rFonts w:ascii="Arial" w:cs="Arial" w:eastAsia="Arial" w:hAnsi="Arial"/>
          <w:sz w:val="16"/>
          <w:szCs w:val="16"/>
          <w:color w:val="auto"/>
        </w:rPr>
        <w:t>st</w:t>
      </w:r>
      <w:r>
        <w:rPr>
          <w:rFonts w:ascii="Arial" w:cs="Arial" w:eastAsia="Arial" w:hAnsi="Arial"/>
          <w:sz w:val="20"/>
          <w:szCs w:val="20"/>
          <w:b w:val="1"/>
          <w:bCs w:val="1"/>
          <w:color w:val="auto"/>
        </w:rPr>
        <w:t xml:space="preserve"> </w:t>
      </w:r>
      <w:r>
        <w:rPr>
          <w:rFonts w:ascii="Arial" w:cs="Arial" w:eastAsia="Arial" w:hAnsi="Arial"/>
          <w:sz w:val="20"/>
          <w:szCs w:val="20"/>
          <w:color w:val="auto"/>
        </w:rPr>
        <w:t>Floor Premises, the 3</w:t>
      </w:r>
      <w:r>
        <w:rPr>
          <w:rFonts w:ascii="Arial" w:cs="Arial" w:eastAsia="Arial" w:hAnsi="Arial"/>
          <w:sz w:val="16"/>
          <w:szCs w:val="16"/>
          <w:color w:val="auto"/>
        </w:rPr>
        <w:t>rd</w:t>
      </w:r>
      <w:r>
        <w:rPr>
          <w:rFonts w:ascii="Arial" w:cs="Arial" w:eastAsia="Arial" w:hAnsi="Arial"/>
          <w:sz w:val="20"/>
          <w:szCs w:val="20"/>
          <w:b w:val="1"/>
          <w:bCs w:val="1"/>
          <w:color w:val="auto"/>
        </w:rPr>
        <w:t xml:space="preserve"> </w:t>
      </w:r>
      <w:r>
        <w:rPr>
          <w:rFonts w:ascii="Arial" w:cs="Arial" w:eastAsia="Arial" w:hAnsi="Arial"/>
          <w:sz w:val="20"/>
          <w:szCs w:val="20"/>
          <w:color w:val="auto"/>
        </w:rPr>
        <w:t>Floor Premises, the 5</w:t>
      </w:r>
      <w:r>
        <w:rPr>
          <w:rFonts w:ascii="Arial" w:cs="Arial" w:eastAsia="Arial" w:hAnsi="Arial"/>
          <w:sz w:val="16"/>
          <w:szCs w:val="16"/>
          <w:color w:val="auto"/>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Floor Premises,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Expansion Premises are collectively referred to as the “</w:t>
      </w:r>
      <w:r>
        <w:rPr>
          <w:rFonts w:ascii="Arial" w:cs="Arial" w:eastAsia="Arial" w:hAnsi="Arial"/>
          <w:sz w:val="20"/>
          <w:szCs w:val="20"/>
          <w:b w:val="1"/>
          <w:bCs w:val="1"/>
          <w:color w:val="auto"/>
        </w:rPr>
        <w:t>Initial Premises</w:t>
      </w:r>
      <w:r>
        <w:rPr>
          <w:rFonts w:ascii="Arial" w:cs="Arial" w:eastAsia="Arial" w:hAnsi="Arial"/>
          <w:sz w:val="20"/>
          <w:szCs w:val="20"/>
          <w:color w:val="auto"/>
        </w:rPr>
        <w:t>,” and the Initial Premises and 4</w:t>
      </w:r>
      <w:r>
        <w:rPr>
          <w:rFonts w:ascii="Arial" w:cs="Arial" w:eastAsia="Arial" w:hAnsi="Arial"/>
          <w:sz w:val="16"/>
          <w:szCs w:val="16"/>
          <w:color w:val="auto"/>
        </w:rPr>
        <w:t>th</w:t>
      </w:r>
      <w:r>
        <w:rPr>
          <w:rFonts w:ascii="Arial" w:cs="Arial" w:eastAsia="Arial" w:hAnsi="Arial"/>
          <w:sz w:val="20"/>
          <w:szCs w:val="20"/>
          <w:color w:val="auto"/>
        </w:rPr>
        <w:t xml:space="preserve"> Floor Premises are collectively referred to as the “</w:t>
      </w:r>
      <w:r>
        <w:rPr>
          <w:rFonts w:ascii="Arial" w:cs="Arial" w:eastAsia="Arial" w:hAnsi="Arial"/>
          <w:sz w:val="20"/>
          <w:szCs w:val="20"/>
          <w:b w:val="1"/>
          <w:bCs w:val="1"/>
          <w:color w:val="auto"/>
        </w:rPr>
        <w:t>Premises</w:t>
      </w:r>
      <w:r>
        <w:rPr>
          <w:rFonts w:ascii="Arial" w:cs="Arial" w:eastAsia="Arial" w:hAnsi="Arial"/>
          <w:sz w:val="20"/>
          <w:szCs w:val="20"/>
          <w:color w:val="auto"/>
        </w:rPr>
        <w:t>.”</w:t>
      </w:r>
    </w:p>
    <w:p>
      <w:pPr>
        <w:spacing w:after="0" w:line="172"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and by (ii) replacing the word “2%” wherever it appears in the second (2</w:t>
      </w:r>
      <w:r>
        <w:rPr>
          <w:rFonts w:ascii="Arial" w:cs="Arial" w:eastAsia="Arial" w:hAnsi="Arial"/>
          <w:sz w:val="16"/>
          <w:szCs w:val="16"/>
          <w:color w:val="auto"/>
        </w:rPr>
        <w:t>nd</w:t>
      </w:r>
      <w:r>
        <w:rPr>
          <w:rFonts w:ascii="Arial" w:cs="Arial" w:eastAsia="Arial" w:hAnsi="Arial"/>
          <w:sz w:val="20"/>
          <w:szCs w:val="20"/>
          <w:color w:val="auto"/>
        </w:rPr>
        <w:t>) paragraph thereof, with</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the word “1.5%”.</w:t>
      </w:r>
    </w:p>
    <w:p>
      <w:pPr>
        <w:spacing w:after="0" w:line="188" w:lineRule="exact"/>
        <w:rPr>
          <w:sz w:val="20"/>
          <w:szCs w:val="20"/>
          <w:color w:val="auto"/>
        </w:rPr>
      </w:pPr>
    </w:p>
    <w:p>
      <w:pPr>
        <w:ind w:right="20" w:firstLine="1755"/>
        <w:spacing w:after="0" w:line="268" w:lineRule="auto"/>
        <w:rPr>
          <w:sz w:val="20"/>
          <w:szCs w:val="20"/>
          <w:color w:val="auto"/>
        </w:rPr>
      </w:pPr>
      <w:r>
        <w:rPr>
          <w:rFonts w:ascii="Arial" w:cs="Arial" w:eastAsia="Arial" w:hAnsi="Arial"/>
          <w:sz w:val="20"/>
          <w:szCs w:val="20"/>
          <w:color w:val="auto"/>
        </w:rPr>
        <w:t>2.2 The section of the Basic Lease Provisions of the Lease entitled, “</w:t>
      </w:r>
      <w:r>
        <w:rPr>
          <w:rFonts w:ascii="Arial" w:cs="Arial" w:eastAsia="Arial" w:hAnsi="Arial"/>
          <w:sz w:val="20"/>
          <w:szCs w:val="20"/>
          <w:b w:val="1"/>
          <w:bCs w:val="1"/>
          <w:color w:val="auto"/>
        </w:rPr>
        <w:t>Base Rent</w:t>
      </w:r>
      <w:r>
        <w:rPr>
          <w:rFonts w:ascii="Arial" w:cs="Arial" w:eastAsia="Arial" w:hAnsi="Arial"/>
          <w:sz w:val="20"/>
          <w:szCs w:val="20"/>
          <w:color w:val="auto"/>
        </w:rPr>
        <w:t>”, shall be deleted in its entirety and replaced with the following:</w:t>
      </w:r>
    </w:p>
    <w:p>
      <w:pPr>
        <w:spacing w:after="0" w:line="148" w:lineRule="exact"/>
        <w:rPr>
          <w:sz w:val="20"/>
          <w:szCs w:val="20"/>
          <w:color w:val="auto"/>
        </w:rPr>
      </w:pPr>
    </w:p>
    <w:p>
      <w:pPr>
        <w:ind w:left="2620" w:hanging="1741"/>
        <w:spacing w:after="0" w:line="266" w:lineRule="auto"/>
        <w:tabs>
          <w:tab w:leader="none" w:pos="2600" w:val="left"/>
        </w:tabs>
        <w:rPr>
          <w:sz w:val="20"/>
          <w:szCs w:val="20"/>
          <w:color w:val="auto"/>
        </w:rPr>
      </w:pPr>
      <w:r>
        <w:rPr>
          <w:rFonts w:ascii="Arial" w:cs="Arial" w:eastAsia="Arial" w:hAnsi="Arial"/>
          <w:sz w:val="20"/>
          <w:szCs w:val="20"/>
          <w:b w:val="1"/>
          <w:bCs w:val="1"/>
          <w:color w:val="auto"/>
        </w:rPr>
        <w:t>Base Rent:</w:t>
      </w:r>
      <w:r>
        <w:rPr>
          <w:sz w:val="20"/>
          <w:szCs w:val="20"/>
          <w:color w:val="auto"/>
        </w:rPr>
        <w:tab/>
      </w:r>
      <w:r>
        <w:rPr>
          <w:rFonts w:ascii="Arial" w:cs="Arial" w:eastAsia="Arial" w:hAnsi="Arial"/>
          <w:sz w:val="20"/>
          <w:szCs w:val="20"/>
          <w:color w:val="auto"/>
        </w:rPr>
        <w:t>Initially, $435,253.13 per month (i.e., $37.50 per rentable square foot per annum) for the Premises, subject to adjustment upon confirmation of the rentable area of the Premises as provided above.</w:t>
      </w:r>
    </w:p>
    <w:p>
      <w:pPr>
        <w:spacing w:after="0" w:line="152" w:lineRule="exact"/>
        <w:rPr>
          <w:sz w:val="20"/>
          <w:szCs w:val="20"/>
          <w:color w:val="auto"/>
        </w:rPr>
      </w:pPr>
    </w:p>
    <w:p>
      <w:pPr>
        <w:ind w:right="20" w:firstLine="1755"/>
        <w:spacing w:after="0" w:line="268" w:lineRule="auto"/>
        <w:rPr>
          <w:sz w:val="20"/>
          <w:szCs w:val="20"/>
          <w:color w:val="auto"/>
        </w:rPr>
      </w:pPr>
      <w:r>
        <w:rPr>
          <w:rFonts w:ascii="Arial" w:cs="Arial" w:eastAsia="Arial" w:hAnsi="Arial"/>
          <w:sz w:val="20"/>
          <w:szCs w:val="20"/>
          <w:color w:val="auto"/>
        </w:rPr>
        <w:t>2.3 The section of the Basic Lease Provisions of the Lease entitled, “</w:t>
      </w:r>
      <w:r>
        <w:rPr>
          <w:rFonts w:ascii="Arial" w:cs="Arial" w:eastAsia="Arial" w:hAnsi="Arial"/>
          <w:sz w:val="20"/>
          <w:szCs w:val="20"/>
          <w:b w:val="1"/>
          <w:bCs w:val="1"/>
          <w:color w:val="auto"/>
        </w:rPr>
        <w:t>Rentable Area of Premises</w:t>
      </w:r>
      <w:r>
        <w:rPr>
          <w:rFonts w:ascii="Arial" w:cs="Arial" w:eastAsia="Arial" w:hAnsi="Arial"/>
          <w:sz w:val="20"/>
          <w:szCs w:val="20"/>
          <w:color w:val="auto"/>
        </w:rPr>
        <w:t>”, shall be deleted in its entirety and replaced with the following:</w:t>
      </w:r>
    </w:p>
    <w:p>
      <w:pPr>
        <w:spacing w:after="0" w:line="148" w:lineRule="exact"/>
        <w:rPr>
          <w:sz w:val="20"/>
          <w:szCs w:val="20"/>
          <w:color w:val="auto"/>
        </w:rPr>
      </w:pPr>
    </w:p>
    <w:p>
      <w:pPr>
        <w:jc w:val="both"/>
        <w:ind w:left="2640" w:hanging="1349"/>
        <w:spacing w:after="0" w:line="266" w:lineRule="auto"/>
        <w:rPr>
          <w:sz w:val="20"/>
          <w:szCs w:val="20"/>
          <w:color w:val="auto"/>
        </w:rPr>
      </w:pPr>
      <w:r>
        <w:rPr>
          <w:rFonts w:ascii="Arial" w:cs="Arial" w:eastAsia="Arial" w:hAnsi="Arial"/>
          <w:sz w:val="20"/>
          <w:szCs w:val="20"/>
          <w:b w:val="1"/>
          <w:bCs w:val="1"/>
          <w:color w:val="auto"/>
        </w:rPr>
        <w:t>Rentable Area of Premises</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139,281 rentable square feet, subject to adjustment upon confirmation of the rentable area of the Premises as provided above.</w:t>
      </w:r>
    </w:p>
    <w:p>
      <w:pPr>
        <w:spacing w:after="0" w:line="152" w:lineRule="exact"/>
        <w:rPr>
          <w:sz w:val="20"/>
          <w:szCs w:val="20"/>
          <w:color w:val="auto"/>
        </w:rPr>
      </w:pPr>
    </w:p>
    <w:p>
      <w:pPr>
        <w:ind w:firstLine="1755"/>
        <w:spacing w:after="0" w:line="268" w:lineRule="auto"/>
        <w:rPr>
          <w:sz w:val="20"/>
          <w:szCs w:val="20"/>
          <w:color w:val="auto"/>
        </w:rPr>
      </w:pPr>
      <w:r>
        <w:rPr>
          <w:rFonts w:ascii="Arial" w:cs="Arial" w:eastAsia="Arial" w:hAnsi="Arial"/>
          <w:sz w:val="20"/>
          <w:szCs w:val="20"/>
          <w:color w:val="auto"/>
        </w:rPr>
        <w:t>2.4 The section of the Basic Lease Provisions of the Lease entitled, “</w:t>
      </w:r>
      <w:r>
        <w:rPr>
          <w:rFonts w:ascii="Arial" w:cs="Arial" w:eastAsia="Arial" w:hAnsi="Arial"/>
          <w:sz w:val="20"/>
          <w:szCs w:val="20"/>
          <w:b w:val="1"/>
          <w:bCs w:val="1"/>
          <w:color w:val="auto"/>
        </w:rPr>
        <w:t>Rentable Area of Project</w:t>
      </w:r>
      <w:r>
        <w:rPr>
          <w:rFonts w:ascii="Arial" w:cs="Arial" w:eastAsia="Arial" w:hAnsi="Arial"/>
          <w:sz w:val="20"/>
          <w:szCs w:val="20"/>
          <w:color w:val="auto"/>
        </w:rPr>
        <w:t>”, shall be deleted in its entirety and replaced with the following:</w:t>
      </w:r>
    </w:p>
    <w:p>
      <w:pPr>
        <w:spacing w:after="0" w:line="148" w:lineRule="exact"/>
        <w:rPr>
          <w:sz w:val="20"/>
          <w:szCs w:val="20"/>
          <w:color w:val="auto"/>
        </w:rPr>
      </w:pPr>
    </w:p>
    <w:p>
      <w:pPr>
        <w:jc w:val="both"/>
        <w:ind w:left="2640" w:hanging="1349"/>
        <w:spacing w:after="0" w:line="246" w:lineRule="auto"/>
        <w:rPr>
          <w:sz w:val="20"/>
          <w:szCs w:val="20"/>
          <w:color w:val="auto"/>
        </w:rPr>
      </w:pPr>
      <w:r>
        <w:rPr>
          <w:rFonts w:ascii="Arial" w:cs="Arial" w:eastAsia="Arial" w:hAnsi="Arial"/>
          <w:sz w:val="20"/>
          <w:szCs w:val="20"/>
          <w:b w:val="1"/>
          <w:bCs w:val="1"/>
          <w:color w:val="auto"/>
        </w:rPr>
        <w:t>Rentable Area of Project</w:t>
      </w:r>
      <w:r>
        <w:rPr>
          <w:rFonts w:ascii="Arial" w:cs="Arial" w:eastAsia="Arial" w:hAnsi="Arial"/>
          <w:sz w:val="20"/>
          <w:szCs w:val="20"/>
          <w:color w:val="auto"/>
        </w:rPr>
        <w:t>: 459,269 rentable square feet, subject to adjustment upon confirmation of the rentable</w:t>
      </w:r>
      <w:r>
        <w:rPr>
          <w:rFonts w:ascii="Arial" w:cs="Arial" w:eastAsia="Arial" w:hAnsi="Arial"/>
          <w:sz w:val="20"/>
          <w:szCs w:val="20"/>
          <w:b w:val="1"/>
          <w:bCs w:val="1"/>
          <w:color w:val="auto"/>
        </w:rPr>
        <w:t xml:space="preserve"> </w:t>
      </w:r>
      <w:r>
        <w:rPr>
          <w:rFonts w:ascii="Arial" w:cs="Arial" w:eastAsia="Arial" w:hAnsi="Arial"/>
          <w:sz w:val="20"/>
          <w:szCs w:val="20"/>
          <w:color w:val="auto"/>
        </w:rPr>
        <w:t>area of the Building as provided above. As of the Commencement Date, set forth below is the rentable area of the buildings located in the Project (excluding Building E, the Parking Garage):</w:t>
      </w:r>
    </w:p>
    <w:p>
      <w:pPr>
        <w:spacing w:after="0" w:line="173" w:lineRule="exact"/>
        <w:rPr>
          <w:sz w:val="20"/>
          <w:szCs w:val="20"/>
          <w:color w:val="auto"/>
        </w:rPr>
      </w:pPr>
    </w:p>
    <w:p>
      <w:pPr>
        <w:ind w:left="2640"/>
        <w:spacing w:after="0"/>
        <w:tabs>
          <w:tab w:leader="none" w:pos="4140" w:val="left"/>
        </w:tabs>
        <w:rPr>
          <w:sz w:val="20"/>
          <w:szCs w:val="20"/>
          <w:color w:val="auto"/>
        </w:rPr>
      </w:pPr>
      <w:r>
        <w:rPr>
          <w:rFonts w:ascii="Arial" w:cs="Arial" w:eastAsia="Arial" w:hAnsi="Arial"/>
          <w:sz w:val="20"/>
          <w:szCs w:val="20"/>
          <w:color w:val="auto"/>
        </w:rPr>
        <w:t>Building A:</w:t>
      </w:r>
      <w:r>
        <w:rPr>
          <w:sz w:val="20"/>
          <w:szCs w:val="20"/>
          <w:color w:val="auto"/>
        </w:rPr>
        <w:tab/>
      </w:r>
      <w:r>
        <w:rPr>
          <w:rFonts w:ascii="Arial" w:cs="Arial" w:eastAsia="Arial" w:hAnsi="Arial"/>
          <w:sz w:val="19"/>
          <w:szCs w:val="19"/>
          <w:color w:val="auto"/>
        </w:rPr>
        <w:t>43,380 rentable square feet</w:t>
      </w:r>
    </w:p>
    <w:p>
      <w:pPr>
        <w:spacing w:after="0" w:line="25" w:lineRule="exact"/>
        <w:rPr>
          <w:sz w:val="20"/>
          <w:szCs w:val="20"/>
          <w:color w:val="auto"/>
        </w:rPr>
      </w:pPr>
    </w:p>
    <w:p>
      <w:pPr>
        <w:ind w:left="2640"/>
        <w:spacing w:after="0"/>
        <w:tabs>
          <w:tab w:leader="none" w:pos="4140" w:val="left"/>
        </w:tabs>
        <w:rPr>
          <w:sz w:val="20"/>
          <w:szCs w:val="20"/>
          <w:color w:val="auto"/>
        </w:rPr>
      </w:pPr>
      <w:r>
        <w:rPr>
          <w:rFonts w:ascii="Arial" w:cs="Arial" w:eastAsia="Arial" w:hAnsi="Arial"/>
          <w:sz w:val="20"/>
          <w:szCs w:val="20"/>
          <w:color w:val="auto"/>
        </w:rPr>
        <w:t>Building B:</w:t>
      </w:r>
      <w:r>
        <w:rPr>
          <w:sz w:val="20"/>
          <w:szCs w:val="20"/>
          <w:color w:val="auto"/>
        </w:rPr>
        <w:tab/>
      </w:r>
      <w:r>
        <w:rPr>
          <w:rFonts w:ascii="Arial" w:cs="Arial" w:eastAsia="Arial" w:hAnsi="Arial"/>
          <w:sz w:val="19"/>
          <w:szCs w:val="19"/>
          <w:color w:val="auto"/>
        </w:rPr>
        <w:t>58,326 rentable square feet</w:t>
      </w:r>
    </w:p>
    <w:p>
      <w:pPr>
        <w:ind w:left="2640"/>
        <w:spacing w:after="0"/>
        <w:tabs>
          <w:tab w:leader="none" w:pos="4140" w:val="left"/>
        </w:tabs>
        <w:rPr>
          <w:sz w:val="20"/>
          <w:szCs w:val="20"/>
          <w:color w:val="auto"/>
        </w:rPr>
      </w:pPr>
      <w:r>
        <w:rPr>
          <w:rFonts w:ascii="Arial" w:cs="Arial" w:eastAsia="Arial" w:hAnsi="Arial"/>
          <w:sz w:val="20"/>
          <w:szCs w:val="20"/>
          <w:color w:val="auto"/>
        </w:rPr>
        <w:t>Building C:</w:t>
      </w:r>
      <w:r>
        <w:rPr>
          <w:sz w:val="20"/>
          <w:szCs w:val="20"/>
          <w:color w:val="auto"/>
        </w:rPr>
        <w:tab/>
      </w:r>
      <w:r>
        <w:rPr>
          <w:rFonts w:ascii="Arial" w:cs="Arial" w:eastAsia="Arial" w:hAnsi="Arial"/>
          <w:sz w:val="19"/>
          <w:szCs w:val="19"/>
          <w:color w:val="auto"/>
        </w:rPr>
        <w:t>124,351 rentable square feet</w:t>
      </w:r>
    </w:p>
    <w:p>
      <w:pPr>
        <w:ind w:left="2640"/>
        <w:spacing w:after="0"/>
        <w:tabs>
          <w:tab w:leader="none" w:pos="4140" w:val="left"/>
        </w:tabs>
        <w:rPr>
          <w:sz w:val="20"/>
          <w:szCs w:val="20"/>
          <w:color w:val="auto"/>
        </w:rPr>
      </w:pPr>
      <w:r>
        <w:rPr>
          <w:rFonts w:ascii="Arial" w:cs="Arial" w:eastAsia="Arial" w:hAnsi="Arial"/>
          <w:sz w:val="20"/>
          <w:szCs w:val="20"/>
          <w:color w:val="auto"/>
        </w:rPr>
        <w:t>Building D:</w:t>
      </w:r>
      <w:r>
        <w:rPr>
          <w:sz w:val="20"/>
          <w:szCs w:val="20"/>
          <w:color w:val="auto"/>
        </w:rPr>
        <w:tab/>
      </w:r>
      <w:r>
        <w:rPr>
          <w:rFonts w:ascii="Arial" w:cs="Arial" w:eastAsia="Arial" w:hAnsi="Arial"/>
          <w:sz w:val="19"/>
          <w:szCs w:val="19"/>
          <w:color w:val="auto"/>
        </w:rPr>
        <w:t>56,379 rentable square feet</w:t>
      </w:r>
    </w:p>
    <w:p>
      <w:pPr>
        <w:ind w:left="2640"/>
        <w:spacing w:after="0"/>
        <w:tabs>
          <w:tab w:leader="none" w:pos="4140" w:val="left"/>
        </w:tabs>
        <w:rPr>
          <w:sz w:val="20"/>
          <w:szCs w:val="20"/>
          <w:color w:val="auto"/>
        </w:rPr>
      </w:pPr>
      <w:r>
        <w:rPr>
          <w:rFonts w:ascii="Arial" w:cs="Arial" w:eastAsia="Arial" w:hAnsi="Arial"/>
          <w:sz w:val="20"/>
          <w:szCs w:val="20"/>
          <w:color w:val="auto"/>
        </w:rPr>
        <w:t>Building F:</w:t>
      </w:r>
      <w:r>
        <w:rPr>
          <w:sz w:val="20"/>
          <w:szCs w:val="20"/>
          <w:color w:val="auto"/>
        </w:rPr>
        <w:tab/>
      </w:r>
      <w:r>
        <w:rPr>
          <w:rFonts w:ascii="Arial" w:cs="Arial" w:eastAsia="Arial" w:hAnsi="Arial"/>
          <w:sz w:val="19"/>
          <w:szCs w:val="19"/>
          <w:color w:val="auto"/>
        </w:rPr>
        <w:t>176,833 rentable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1905</wp:posOffset>
            </wp:positionV>
            <wp:extent cx="2941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ind w:left="2640"/>
        <w:spacing w:after="0"/>
        <w:tabs>
          <w:tab w:leader="none" w:pos="4140" w:val="left"/>
        </w:tabs>
        <w:rPr>
          <w:sz w:val="20"/>
          <w:szCs w:val="20"/>
          <w:color w:val="auto"/>
        </w:rPr>
      </w:pPr>
      <w:r>
        <w:rPr>
          <w:rFonts w:ascii="Arial" w:cs="Arial" w:eastAsia="Arial" w:hAnsi="Arial"/>
          <w:sz w:val="20"/>
          <w:szCs w:val="20"/>
          <w:color w:val="auto"/>
        </w:rPr>
        <w:t>Total:</w:t>
      </w:r>
      <w:r>
        <w:rPr>
          <w:sz w:val="20"/>
          <w:szCs w:val="20"/>
          <w:color w:val="auto"/>
        </w:rPr>
        <w:tab/>
      </w:r>
      <w:r>
        <w:rPr>
          <w:rFonts w:ascii="Arial" w:cs="Arial" w:eastAsia="Arial" w:hAnsi="Arial"/>
          <w:sz w:val="20"/>
          <w:szCs w:val="20"/>
          <w:color w:val="auto"/>
        </w:rPr>
        <w:t>459,269 rentable square feet</w:t>
      </w:r>
    </w:p>
    <w:p>
      <w:pPr>
        <w:spacing w:after="0" w:line="220"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Copyright © 2012. Alexandria Real Estate Equities, Inc. ALL RIGHTS</w:t>
      </w:r>
    </w:p>
    <w:p>
      <w:pPr>
        <w:spacing w:after="0" w:line="19"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RESERVED. Confidential and Proprietary. Do Not Copy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-70485</wp:posOffset>
            </wp:positionV>
            <wp:extent cx="702945"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02945" cy="24892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Distribute. Alexandria and Alexandria Logo are registered trademarks of</w:t>
      </w:r>
    </w:p>
    <w:p>
      <w:pPr>
        <w:spacing w:after="0" w:line="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Alexandria Real Estate Equities,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46154413-v4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65" w:name="page66"/>
    <w:bookmarkEnd w:id="65"/>
    <w:p>
      <w:pPr>
        <w:spacing w:after="0"/>
        <w:tabs>
          <w:tab w:leader="none" w:pos="10780" w:val="left"/>
        </w:tabs>
        <w:rPr>
          <w:sz w:val="20"/>
          <w:szCs w:val="20"/>
          <w:color w:val="auto"/>
        </w:rPr>
      </w:pPr>
      <w:r>
        <w:rPr>
          <w:rFonts w:ascii="Arial" w:cs="Arial" w:eastAsia="Arial" w:hAnsi="Arial"/>
          <w:sz w:val="16"/>
          <w:szCs w:val="16"/>
          <w:b w:val="1"/>
          <w:bCs w:val="1"/>
          <w:color w:val="auto"/>
        </w:rPr>
        <w:t>First Amendment to Lease Agreement –-RegenXBio Inc.</w:t>
      </w:r>
      <w:r>
        <w:rPr>
          <w:sz w:val="20"/>
          <w:szCs w:val="20"/>
          <w:color w:val="auto"/>
        </w:rPr>
        <w:tab/>
      </w:r>
      <w:r>
        <w:rPr>
          <w:rFonts w:ascii="Arial" w:cs="Arial" w:eastAsia="Arial" w:hAnsi="Arial"/>
          <w:sz w:val="16"/>
          <w:szCs w:val="16"/>
          <w:b w:val="1"/>
          <w:bCs w:val="1"/>
          <w:color w:val="auto"/>
        </w:rPr>
        <w:t xml:space="preserve">Page - </w:t>
      </w:r>
      <w:r>
        <w:rPr>
          <w:rFonts w:ascii="Arial" w:cs="Arial" w:eastAsia="Arial" w:hAnsi="Arial"/>
          <w:sz w:val="16"/>
          <w:szCs w:val="16"/>
          <w:color w:val="auto"/>
        </w:rPr>
        <w:t>3</w:t>
      </w:r>
    </w:p>
    <w:p>
      <w:pPr>
        <w:spacing w:after="0" w:line="212" w:lineRule="exact"/>
        <w:rPr>
          <w:sz w:val="20"/>
          <w:szCs w:val="20"/>
          <w:color w:val="auto"/>
        </w:rPr>
      </w:pPr>
    </w:p>
    <w:p>
      <w:pPr>
        <w:jc w:val="both"/>
        <w:ind w:left="2640"/>
        <w:spacing w:after="0" w:line="234" w:lineRule="auto"/>
        <w:rPr>
          <w:sz w:val="20"/>
          <w:szCs w:val="20"/>
          <w:color w:val="auto"/>
        </w:rPr>
      </w:pPr>
      <w:r>
        <w:rPr>
          <w:rFonts w:ascii="Arial" w:cs="Arial" w:eastAsia="Arial" w:hAnsi="Arial"/>
          <w:sz w:val="20"/>
          <w:szCs w:val="20"/>
          <w:color w:val="auto"/>
        </w:rPr>
        <w:t>Landlord covenants and agrees that Landlord shall not re-measure the rentable area of the Project during the Term except to reflect actual changes in the physical size of the Project, and then only in accordance with the measurement standards that have been used historically to measure such rentable area of the Project. Tenant’s Project Share and Building’s Share of Project shall be promptly re-adjusted based on any changes in the Rentable Area of Project after the Commencement Date.</w:t>
      </w:r>
    </w:p>
    <w:p>
      <w:pPr>
        <w:spacing w:after="0" w:line="179" w:lineRule="exact"/>
        <w:rPr>
          <w:sz w:val="20"/>
          <w:szCs w:val="20"/>
          <w:color w:val="auto"/>
        </w:rPr>
      </w:pPr>
    </w:p>
    <w:p>
      <w:pPr>
        <w:ind w:firstLine="1755"/>
        <w:spacing w:after="0" w:line="268" w:lineRule="auto"/>
        <w:rPr>
          <w:sz w:val="20"/>
          <w:szCs w:val="20"/>
          <w:color w:val="auto"/>
        </w:rPr>
      </w:pPr>
      <w:r>
        <w:rPr>
          <w:rFonts w:ascii="Arial" w:cs="Arial" w:eastAsia="Arial" w:hAnsi="Arial"/>
          <w:sz w:val="20"/>
          <w:szCs w:val="20"/>
          <w:color w:val="auto"/>
        </w:rPr>
        <w:t>2.5 The section of the Basic Lease Provisions of the Lease entitled, “</w:t>
      </w:r>
      <w:r>
        <w:rPr>
          <w:rFonts w:ascii="Arial" w:cs="Arial" w:eastAsia="Arial" w:hAnsi="Arial"/>
          <w:sz w:val="20"/>
          <w:szCs w:val="20"/>
          <w:b w:val="1"/>
          <w:bCs w:val="1"/>
          <w:color w:val="auto"/>
        </w:rPr>
        <w:t>Tenant’s Share</w:t>
      </w:r>
      <w:r>
        <w:rPr>
          <w:rFonts w:ascii="Arial" w:cs="Arial" w:eastAsia="Arial" w:hAnsi="Arial"/>
          <w:sz w:val="20"/>
          <w:szCs w:val="20"/>
          <w:color w:val="auto"/>
        </w:rPr>
        <w:t>”, shall be deleted in its entirety and replaced with the following:</w:t>
      </w:r>
    </w:p>
    <w:p>
      <w:pPr>
        <w:spacing w:after="0" w:line="148" w:lineRule="exact"/>
        <w:rPr>
          <w:sz w:val="20"/>
          <w:szCs w:val="20"/>
          <w:color w:val="auto"/>
        </w:rPr>
      </w:pPr>
    </w:p>
    <w:p>
      <w:pPr>
        <w:ind w:left="2640" w:right="20" w:hanging="1349"/>
        <w:spacing w:after="0" w:line="268" w:lineRule="auto"/>
        <w:rPr>
          <w:sz w:val="20"/>
          <w:szCs w:val="20"/>
          <w:color w:val="auto"/>
        </w:rPr>
      </w:pPr>
      <w:r>
        <w:rPr>
          <w:rFonts w:ascii="Arial" w:cs="Arial" w:eastAsia="Arial" w:hAnsi="Arial"/>
          <w:sz w:val="20"/>
          <w:szCs w:val="20"/>
          <w:b w:val="1"/>
          <w:bCs w:val="1"/>
          <w:color w:val="auto"/>
        </w:rPr>
        <w:t>Tenant’s Share</w:t>
      </w:r>
      <w:r>
        <w:rPr>
          <w:rFonts w:ascii="Arial" w:cs="Arial" w:eastAsia="Arial" w:hAnsi="Arial"/>
          <w:sz w:val="20"/>
          <w:szCs w:val="20"/>
          <w:color w:val="auto"/>
        </w:rPr>
        <w:t>: 78.76%, subject to adjustment upon confirmation of the rentable areas of the Building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Premises as provided above.</w:t>
      </w:r>
    </w:p>
    <w:p>
      <w:pPr>
        <w:spacing w:after="0" w:line="121" w:lineRule="exact"/>
        <w:rPr>
          <w:sz w:val="20"/>
          <w:szCs w:val="20"/>
          <w:color w:val="auto"/>
        </w:rPr>
      </w:pPr>
    </w:p>
    <w:p>
      <w:pPr>
        <w:ind w:right="20" w:firstLine="1755"/>
        <w:spacing w:after="0" w:line="268" w:lineRule="auto"/>
        <w:rPr>
          <w:sz w:val="20"/>
          <w:szCs w:val="20"/>
          <w:color w:val="auto"/>
        </w:rPr>
      </w:pPr>
      <w:r>
        <w:rPr>
          <w:rFonts w:ascii="Arial" w:cs="Arial" w:eastAsia="Arial" w:hAnsi="Arial"/>
          <w:sz w:val="20"/>
          <w:szCs w:val="20"/>
          <w:color w:val="auto"/>
        </w:rPr>
        <w:t>2.6 The section of the Basic Lease Provisions of the Lease entitled, “</w:t>
      </w:r>
      <w:r>
        <w:rPr>
          <w:rFonts w:ascii="Arial" w:cs="Arial" w:eastAsia="Arial" w:hAnsi="Arial"/>
          <w:sz w:val="20"/>
          <w:szCs w:val="20"/>
          <w:b w:val="1"/>
          <w:bCs w:val="1"/>
          <w:color w:val="auto"/>
        </w:rPr>
        <w:t>Tenant’s Project Share</w:t>
      </w:r>
      <w:r>
        <w:rPr>
          <w:rFonts w:ascii="Arial" w:cs="Arial" w:eastAsia="Arial" w:hAnsi="Arial"/>
          <w:sz w:val="20"/>
          <w:szCs w:val="20"/>
          <w:color w:val="auto"/>
        </w:rPr>
        <w:t>”, shall be deleted in its entirety and replaced with the following:</w:t>
      </w:r>
    </w:p>
    <w:p>
      <w:pPr>
        <w:spacing w:after="0" w:line="148" w:lineRule="exact"/>
        <w:rPr>
          <w:sz w:val="20"/>
          <w:szCs w:val="20"/>
          <w:color w:val="auto"/>
        </w:rPr>
      </w:pPr>
    </w:p>
    <w:p>
      <w:pPr>
        <w:ind w:left="2640" w:right="20" w:hanging="1349"/>
        <w:spacing w:after="0" w:line="268" w:lineRule="auto"/>
        <w:rPr>
          <w:sz w:val="20"/>
          <w:szCs w:val="20"/>
          <w:color w:val="auto"/>
        </w:rPr>
      </w:pPr>
      <w:r>
        <w:rPr>
          <w:rFonts w:ascii="Arial" w:cs="Arial" w:eastAsia="Arial" w:hAnsi="Arial"/>
          <w:sz w:val="20"/>
          <w:szCs w:val="20"/>
          <w:b w:val="1"/>
          <w:bCs w:val="1"/>
          <w:color w:val="auto"/>
        </w:rPr>
        <w:t xml:space="preserve">Tenant’s Project Share: </w:t>
      </w:r>
      <w:r>
        <w:rPr>
          <w:rFonts w:ascii="Arial" w:cs="Arial" w:eastAsia="Arial" w:hAnsi="Arial"/>
          <w:sz w:val="20"/>
          <w:szCs w:val="20"/>
          <w:color w:val="auto"/>
        </w:rPr>
        <w:t>30.33%, subject to adjustment upon confirmation of the rentable areas of the Building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Premises as provided above.</w:t>
      </w:r>
    </w:p>
    <w:p>
      <w:pPr>
        <w:spacing w:after="0" w:line="108" w:lineRule="exact"/>
        <w:rPr>
          <w:sz w:val="20"/>
          <w:szCs w:val="20"/>
          <w:color w:val="auto"/>
        </w:rPr>
      </w:pPr>
    </w:p>
    <w:p>
      <w:pPr>
        <w:ind w:firstLine="1755"/>
        <w:spacing w:after="0" w:line="268" w:lineRule="auto"/>
        <w:rPr>
          <w:sz w:val="20"/>
          <w:szCs w:val="20"/>
          <w:color w:val="auto"/>
        </w:rPr>
      </w:pPr>
      <w:r>
        <w:rPr>
          <w:rFonts w:ascii="Arial" w:cs="Arial" w:eastAsia="Arial" w:hAnsi="Arial"/>
          <w:sz w:val="20"/>
          <w:szCs w:val="20"/>
          <w:color w:val="auto"/>
        </w:rPr>
        <w:t>2.7 The section of the Basic Lease Provisions of the Lease entitled, “</w:t>
      </w:r>
      <w:r>
        <w:rPr>
          <w:rFonts w:ascii="Arial" w:cs="Arial" w:eastAsia="Arial" w:hAnsi="Arial"/>
          <w:sz w:val="20"/>
          <w:szCs w:val="20"/>
          <w:b w:val="1"/>
          <w:bCs w:val="1"/>
          <w:color w:val="auto"/>
        </w:rPr>
        <w:t>Rentable Area of Building</w:t>
      </w:r>
      <w:r>
        <w:rPr>
          <w:rFonts w:ascii="Arial" w:cs="Arial" w:eastAsia="Arial" w:hAnsi="Arial"/>
          <w:sz w:val="20"/>
          <w:szCs w:val="20"/>
          <w:color w:val="auto"/>
        </w:rPr>
        <w:t>”, shall be deleted in its entirety and replaced with the following:</w:t>
      </w:r>
    </w:p>
    <w:p>
      <w:pPr>
        <w:spacing w:after="0" w:line="148" w:lineRule="exact"/>
        <w:rPr>
          <w:sz w:val="20"/>
          <w:szCs w:val="20"/>
          <w:color w:val="auto"/>
        </w:rPr>
      </w:pPr>
    </w:p>
    <w:p>
      <w:pPr>
        <w:ind w:left="2640" w:hanging="1349"/>
        <w:spacing w:after="0" w:line="268" w:lineRule="auto"/>
        <w:rPr>
          <w:sz w:val="20"/>
          <w:szCs w:val="20"/>
          <w:color w:val="auto"/>
        </w:rPr>
      </w:pPr>
      <w:r>
        <w:rPr>
          <w:rFonts w:ascii="Arial" w:cs="Arial" w:eastAsia="Arial" w:hAnsi="Arial"/>
          <w:sz w:val="20"/>
          <w:szCs w:val="20"/>
          <w:b w:val="1"/>
          <w:bCs w:val="1"/>
          <w:color w:val="auto"/>
        </w:rPr>
        <w:t xml:space="preserve">Rentable Area of Building: </w:t>
      </w:r>
      <w:r>
        <w:rPr>
          <w:rFonts w:ascii="Arial" w:cs="Arial" w:eastAsia="Arial" w:hAnsi="Arial"/>
          <w:sz w:val="20"/>
          <w:szCs w:val="20"/>
          <w:color w:val="auto"/>
        </w:rPr>
        <w:t>176,833 rentable square feet, subject to adjustment upon confirmation of the rentable</w:t>
      </w:r>
      <w:r>
        <w:rPr>
          <w:rFonts w:ascii="Arial" w:cs="Arial" w:eastAsia="Arial" w:hAnsi="Arial"/>
          <w:sz w:val="20"/>
          <w:szCs w:val="20"/>
          <w:b w:val="1"/>
          <w:bCs w:val="1"/>
          <w:color w:val="auto"/>
        </w:rPr>
        <w:t xml:space="preserve"> </w:t>
      </w:r>
      <w:r>
        <w:rPr>
          <w:rFonts w:ascii="Arial" w:cs="Arial" w:eastAsia="Arial" w:hAnsi="Arial"/>
          <w:sz w:val="20"/>
          <w:szCs w:val="20"/>
          <w:color w:val="auto"/>
        </w:rPr>
        <w:t>area of the Building as provided above.</w:t>
      </w:r>
    </w:p>
    <w:p>
      <w:pPr>
        <w:spacing w:after="0" w:line="121" w:lineRule="exact"/>
        <w:rPr>
          <w:sz w:val="20"/>
          <w:szCs w:val="20"/>
          <w:color w:val="auto"/>
        </w:rPr>
      </w:pPr>
    </w:p>
    <w:p>
      <w:pPr>
        <w:ind w:right="20" w:firstLine="1755"/>
        <w:spacing w:after="0" w:line="268" w:lineRule="auto"/>
        <w:rPr>
          <w:sz w:val="20"/>
          <w:szCs w:val="20"/>
          <w:color w:val="auto"/>
        </w:rPr>
      </w:pPr>
      <w:r>
        <w:rPr>
          <w:rFonts w:ascii="Arial" w:cs="Arial" w:eastAsia="Arial" w:hAnsi="Arial"/>
          <w:sz w:val="20"/>
          <w:szCs w:val="20"/>
          <w:color w:val="auto"/>
        </w:rPr>
        <w:t>2.8 The section of the Basic Lease Provisions of the Lease entitled, “</w:t>
      </w:r>
      <w:r>
        <w:rPr>
          <w:rFonts w:ascii="Arial" w:cs="Arial" w:eastAsia="Arial" w:hAnsi="Arial"/>
          <w:sz w:val="20"/>
          <w:szCs w:val="20"/>
          <w:b w:val="1"/>
          <w:bCs w:val="1"/>
          <w:color w:val="auto"/>
        </w:rPr>
        <w:t>Building’s Share of Project</w:t>
      </w:r>
      <w:r>
        <w:rPr>
          <w:rFonts w:ascii="Arial" w:cs="Arial" w:eastAsia="Arial" w:hAnsi="Arial"/>
          <w:sz w:val="20"/>
          <w:szCs w:val="20"/>
          <w:color w:val="auto"/>
        </w:rPr>
        <w:t>”, shall be deleted in its entirety and replaced with the following:</w:t>
      </w:r>
    </w:p>
    <w:p>
      <w:pPr>
        <w:spacing w:after="0" w:line="148" w:lineRule="exact"/>
        <w:rPr>
          <w:sz w:val="20"/>
          <w:szCs w:val="20"/>
          <w:color w:val="auto"/>
        </w:rPr>
      </w:pPr>
    </w:p>
    <w:p>
      <w:pPr>
        <w:ind w:left="2640" w:hanging="1349"/>
        <w:spacing w:after="0" w:line="268" w:lineRule="auto"/>
        <w:rPr>
          <w:sz w:val="20"/>
          <w:szCs w:val="20"/>
          <w:color w:val="auto"/>
        </w:rPr>
      </w:pPr>
      <w:r>
        <w:rPr>
          <w:rFonts w:ascii="Arial" w:cs="Arial" w:eastAsia="Arial" w:hAnsi="Arial"/>
          <w:sz w:val="20"/>
          <w:szCs w:val="20"/>
          <w:b w:val="1"/>
          <w:bCs w:val="1"/>
          <w:color w:val="auto"/>
        </w:rPr>
        <w:t xml:space="preserve">Building’s Share of Project: </w:t>
      </w:r>
      <w:r>
        <w:rPr>
          <w:rFonts w:ascii="Arial" w:cs="Arial" w:eastAsia="Arial" w:hAnsi="Arial"/>
          <w:sz w:val="20"/>
          <w:szCs w:val="20"/>
          <w:color w:val="auto"/>
        </w:rPr>
        <w:t>38.50%, subject to adjustment upon confirmation of the rentable area of the Building</w:t>
      </w:r>
      <w:r>
        <w:rPr>
          <w:rFonts w:ascii="Arial" w:cs="Arial" w:eastAsia="Arial" w:hAnsi="Arial"/>
          <w:sz w:val="20"/>
          <w:szCs w:val="20"/>
          <w:b w:val="1"/>
          <w:bCs w:val="1"/>
          <w:color w:val="auto"/>
        </w:rPr>
        <w:t xml:space="preserve"> </w:t>
      </w:r>
      <w:r>
        <w:rPr>
          <w:rFonts w:ascii="Arial" w:cs="Arial" w:eastAsia="Arial" w:hAnsi="Arial"/>
          <w:sz w:val="20"/>
          <w:szCs w:val="20"/>
          <w:color w:val="auto"/>
        </w:rPr>
        <w:t>as provided above.</w:t>
      </w:r>
    </w:p>
    <w:p>
      <w:pPr>
        <w:spacing w:after="0" w:line="121" w:lineRule="exact"/>
        <w:rPr>
          <w:sz w:val="20"/>
          <w:szCs w:val="20"/>
          <w:color w:val="auto"/>
        </w:rPr>
      </w:pPr>
    </w:p>
    <w:p>
      <w:pPr>
        <w:ind w:firstLine="885"/>
        <w:spacing w:after="0" w:line="268" w:lineRule="auto"/>
        <w:tabs>
          <w:tab w:leader="none" w:pos="1691"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Adjustment to TI Allowance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C-2</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Lease is hereby amended by deleting Section 5(b) thereof in</w:t>
      </w:r>
      <w:r>
        <w:rPr>
          <w:rFonts w:ascii="Arial" w:cs="Arial" w:eastAsia="Arial" w:hAnsi="Arial"/>
          <w:sz w:val="20"/>
          <w:szCs w:val="20"/>
          <w:b w:val="1"/>
          <w:bCs w:val="1"/>
          <w:color w:val="auto"/>
        </w:rPr>
        <w:t xml:space="preserve"> </w:t>
      </w:r>
      <w:r>
        <w:rPr>
          <w:rFonts w:ascii="Arial" w:cs="Arial" w:eastAsia="Arial" w:hAnsi="Arial"/>
          <w:sz w:val="20"/>
          <w:szCs w:val="20"/>
          <w:color w:val="auto"/>
        </w:rPr>
        <w:t>its entirety and replacing it with the following:</w:t>
      </w:r>
    </w:p>
    <w:p>
      <w:pPr>
        <w:spacing w:after="0" w:line="148" w:lineRule="exact"/>
        <w:rPr>
          <w:rFonts w:ascii="Arial" w:cs="Arial" w:eastAsia="Arial" w:hAnsi="Arial"/>
          <w:sz w:val="20"/>
          <w:szCs w:val="20"/>
          <w:color w:val="auto"/>
        </w:rPr>
      </w:pPr>
    </w:p>
    <w:p>
      <w:pPr>
        <w:jc w:val="both"/>
        <w:ind w:left="2640" w:firstLine="2"/>
        <w:spacing w:after="0" w:line="233" w:lineRule="auto"/>
        <w:tabs>
          <w:tab w:leader="none" w:pos="3541" w:val="left"/>
        </w:tabs>
        <w:numPr>
          <w:ilvl w:val="1"/>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TI Allowance</w:t>
      </w:r>
      <w:r>
        <w:rPr>
          <w:rFonts w:ascii="Arial" w:cs="Arial" w:eastAsia="Arial" w:hAnsi="Arial"/>
          <w:sz w:val="20"/>
          <w:szCs w:val="20"/>
          <w:color w:val="auto"/>
        </w:rPr>
        <w:t>. Landlord shall provide to Tenant a tenant improvement allowance (“</w:t>
      </w:r>
      <w:r>
        <w:rPr>
          <w:rFonts w:ascii="Arial" w:cs="Arial" w:eastAsia="Arial" w:hAnsi="Arial"/>
          <w:sz w:val="20"/>
          <w:szCs w:val="20"/>
          <w:b w:val="1"/>
          <w:bCs w:val="1"/>
          <w:color w:val="auto"/>
        </w:rPr>
        <w:t>TI Allowance</w:t>
      </w:r>
      <w:r>
        <w:rPr>
          <w:rFonts w:ascii="Arial" w:cs="Arial" w:eastAsia="Arial" w:hAnsi="Arial"/>
          <w:sz w:val="20"/>
          <w:szCs w:val="20"/>
          <w:color w:val="auto"/>
        </w:rPr>
        <w:t>”) of</w:t>
      </w:r>
      <w:r>
        <w:rPr>
          <w:rFonts w:ascii="Arial" w:cs="Arial" w:eastAsia="Arial" w:hAnsi="Arial"/>
          <w:sz w:val="20"/>
          <w:szCs w:val="20"/>
          <w:b w:val="1"/>
          <w:bCs w:val="1"/>
          <w:color w:val="auto"/>
        </w:rPr>
        <w:t xml:space="preserve"> $110 </w:t>
      </w:r>
      <w:r>
        <w:rPr>
          <w:rFonts w:ascii="Arial" w:cs="Arial" w:eastAsia="Arial" w:hAnsi="Arial"/>
          <w:sz w:val="20"/>
          <w:szCs w:val="20"/>
          <w:color w:val="auto"/>
        </w:rPr>
        <w:t>per rentable square foot of the Premises, or</w:t>
      </w:r>
      <w:r>
        <w:rPr>
          <w:rFonts w:ascii="Arial" w:cs="Arial" w:eastAsia="Arial" w:hAnsi="Arial"/>
          <w:sz w:val="20"/>
          <w:szCs w:val="20"/>
          <w:b w:val="1"/>
          <w:bCs w:val="1"/>
          <w:color w:val="auto"/>
        </w:rPr>
        <w:t xml:space="preserve"> $15,320,910 </w:t>
      </w:r>
      <w:r>
        <w:rPr>
          <w:rFonts w:ascii="Arial" w:cs="Arial" w:eastAsia="Arial" w:hAnsi="Arial"/>
          <w:sz w:val="20"/>
          <w:szCs w:val="20"/>
          <w:color w:val="auto"/>
        </w:rPr>
        <w:t>in the aggregate</w:t>
      </w:r>
      <w:r>
        <w:rPr>
          <w:rFonts w:ascii="Arial" w:cs="Arial" w:eastAsia="Arial" w:hAnsi="Arial"/>
          <w:sz w:val="20"/>
          <w:szCs w:val="20"/>
          <w:b w:val="1"/>
          <w:bCs w:val="1"/>
          <w:color w:val="auto"/>
        </w:rPr>
        <w:t xml:space="preserve"> </w:t>
      </w:r>
      <w:r>
        <w:rPr>
          <w:rFonts w:ascii="Arial" w:cs="Arial" w:eastAsia="Arial" w:hAnsi="Arial"/>
          <w:sz w:val="20"/>
          <w:szCs w:val="20"/>
          <w:color w:val="auto"/>
        </w:rPr>
        <w:t>(based on the Premises containing 139,281 rentable square feet and subject to adjustment upon remeasurement of the Premises as provided in the Lease). The TI Allowance shall be disbursed in accordance with this Work Letter. Tenant shall have no right to any portion of the TI Allowance that is not requested before the last day of the month that is 24 months after the Lease Commencement Date.</w:t>
      </w:r>
    </w:p>
    <w:p>
      <w:pPr>
        <w:spacing w:after="0" w:line="198"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Copyright © 2012. Alexandria Real Estate Equities, Inc. ALL RIGHTS</w:t>
      </w:r>
    </w:p>
    <w:p>
      <w:pPr>
        <w:spacing w:after="0" w:line="19"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RESERVED. Confidential and Proprietary. Do Not Copy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-70485</wp:posOffset>
            </wp:positionV>
            <wp:extent cx="702945" cy="248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02945" cy="24892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Distribute. Alexandria and Alexandria Logo are registered trademarks of</w:t>
      </w:r>
    </w:p>
    <w:p>
      <w:pPr>
        <w:spacing w:after="0" w:line="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Alexandria Real Estate Equities,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46154413-v4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66" w:name="page67"/>
    <w:bookmarkEnd w:id="66"/>
    <w:p>
      <w:pPr>
        <w:spacing w:after="0"/>
        <w:tabs>
          <w:tab w:leader="none" w:pos="10780" w:val="left"/>
        </w:tabs>
        <w:rPr>
          <w:sz w:val="20"/>
          <w:szCs w:val="20"/>
          <w:color w:val="auto"/>
        </w:rPr>
      </w:pPr>
      <w:r>
        <w:rPr>
          <w:rFonts w:ascii="Arial" w:cs="Arial" w:eastAsia="Arial" w:hAnsi="Arial"/>
          <w:sz w:val="16"/>
          <w:szCs w:val="16"/>
          <w:b w:val="1"/>
          <w:bCs w:val="1"/>
          <w:color w:val="auto"/>
        </w:rPr>
        <w:t>First Amendment to Lease Agreement –-RegenXBio Inc.</w:t>
      </w:r>
      <w:r>
        <w:rPr>
          <w:sz w:val="20"/>
          <w:szCs w:val="20"/>
          <w:color w:val="auto"/>
        </w:rPr>
        <w:tab/>
      </w:r>
      <w:r>
        <w:rPr>
          <w:rFonts w:ascii="Arial" w:cs="Arial" w:eastAsia="Arial" w:hAnsi="Arial"/>
          <w:sz w:val="16"/>
          <w:szCs w:val="16"/>
          <w:b w:val="1"/>
          <w:bCs w:val="1"/>
          <w:color w:val="auto"/>
        </w:rPr>
        <w:t xml:space="preserve">Page - </w:t>
      </w:r>
      <w:r>
        <w:rPr>
          <w:rFonts w:ascii="Arial" w:cs="Arial" w:eastAsia="Arial" w:hAnsi="Arial"/>
          <w:sz w:val="16"/>
          <w:szCs w:val="16"/>
          <w:color w:val="auto"/>
        </w:rPr>
        <w:t>4</w:t>
      </w:r>
    </w:p>
    <w:p>
      <w:pPr>
        <w:spacing w:after="0" w:line="210" w:lineRule="exact"/>
        <w:rPr>
          <w:sz w:val="20"/>
          <w:szCs w:val="20"/>
          <w:color w:val="auto"/>
        </w:rPr>
      </w:pPr>
    </w:p>
    <w:p>
      <w:pPr>
        <w:jc w:val="both"/>
        <w:ind w:firstLine="885"/>
        <w:spacing w:after="0" w:line="266" w:lineRule="auto"/>
        <w:tabs>
          <w:tab w:leader="none" w:pos="1691"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Elimination of On Site Food Service</w:t>
      </w:r>
      <w:r>
        <w:rPr>
          <w:rFonts w:ascii="Arial" w:cs="Arial" w:eastAsia="Arial" w:hAnsi="Arial"/>
          <w:sz w:val="19"/>
          <w:szCs w:val="19"/>
          <w:color w:val="auto"/>
        </w:rPr>
        <w:t>. Landlord and Tenant have agreed to eliminate the need for the On Site</w:t>
      </w:r>
      <w:r>
        <w:rPr>
          <w:rFonts w:ascii="Arial" w:cs="Arial" w:eastAsia="Arial" w:hAnsi="Arial"/>
          <w:sz w:val="19"/>
          <w:szCs w:val="19"/>
          <w:b w:val="1"/>
          <w:bCs w:val="1"/>
          <w:color w:val="auto"/>
        </w:rPr>
        <w:t xml:space="preserve"> </w:t>
      </w:r>
      <w:r>
        <w:rPr>
          <w:rFonts w:ascii="Arial" w:cs="Arial" w:eastAsia="Arial" w:hAnsi="Arial"/>
          <w:sz w:val="19"/>
          <w:szCs w:val="19"/>
          <w:color w:val="auto"/>
        </w:rPr>
        <w:t>Food Service and the On Site Food Service Area. Accordingly, effective as of the Effective Date, the following changes are hereby made to the Lease for the purpose of deleting references to the On Site Food Service and the On Site Food Service Area:</w:t>
      </w:r>
    </w:p>
    <w:p>
      <w:pPr>
        <w:spacing w:after="0" w:line="153" w:lineRule="exact"/>
        <w:rPr>
          <w:sz w:val="20"/>
          <w:szCs w:val="20"/>
          <w:color w:val="auto"/>
        </w:rPr>
      </w:pPr>
    </w:p>
    <w:p>
      <w:pPr>
        <w:ind w:left="1760"/>
        <w:spacing w:after="0"/>
        <w:tabs>
          <w:tab w:leader="none" w:pos="2660" w:val="left"/>
          <w:tab w:leader="none" w:pos="3520" w:val="left"/>
          <w:tab w:leader="none" w:pos="4000" w:val="left"/>
          <w:tab w:leader="none" w:pos="4360" w:val="left"/>
          <w:tab w:leader="none" w:pos="4820" w:val="left"/>
          <w:tab w:leader="none" w:pos="5560" w:val="left"/>
          <w:tab w:leader="none" w:pos="5900" w:val="left"/>
          <w:tab w:leader="none" w:pos="6680" w:val="left"/>
          <w:tab w:leader="none" w:pos="7520" w:val="left"/>
          <w:tab w:leader="none" w:pos="7880" w:val="left"/>
          <w:tab w:leader="none" w:pos="8260" w:val="left"/>
          <w:tab w:leader="none" w:pos="9100" w:val="left"/>
          <w:tab w:leader="none" w:pos="9620" w:val="left"/>
          <w:tab w:leader="none" w:pos="10580" w:val="left"/>
          <w:tab w:leader="none" w:pos="111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Section</w:t>
        <w:tab/>
        <w:t>2(f)</w:t>
        <w:tab/>
        <w:t>of</w:t>
        <w:tab/>
        <w:t>the</w:t>
        <w:tab/>
        <w:t>Lease</w:t>
        <w:tab/>
        <w:t>is</w:t>
        <w:tab/>
        <w:t>hereby</w:t>
        <w:tab/>
        <w:t>deleted</w:t>
        <w:tab/>
        <w:t>in</w:t>
        <w:tab/>
        <w:t>its</w:t>
        <w:tab/>
        <w:t>entirety</w:t>
        <w:tab/>
        <w:t>and</w:t>
        <w:tab/>
        <w:t>replaced</w:t>
        <w:tab/>
        <w:t>with</w:t>
        <w:tab/>
        <w:t>the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following: “Intentionally Deleted.”</w:t>
      </w:r>
    </w:p>
    <w:p>
      <w:pPr>
        <w:spacing w:after="0" w:line="190" w:lineRule="exact"/>
        <w:rPr>
          <w:sz w:val="20"/>
          <w:szCs w:val="20"/>
          <w:color w:val="auto"/>
        </w:rPr>
      </w:pPr>
    </w:p>
    <w:p>
      <w:pPr>
        <w:ind w:firstLine="1755"/>
        <w:spacing w:after="0" w:line="266" w:lineRule="auto"/>
        <w:rPr>
          <w:sz w:val="20"/>
          <w:szCs w:val="20"/>
          <w:color w:val="auto"/>
        </w:rPr>
      </w:pPr>
      <w:r>
        <w:rPr>
          <w:rFonts w:ascii="Arial" w:cs="Arial" w:eastAsia="Arial" w:hAnsi="Arial"/>
          <w:sz w:val="20"/>
          <w:szCs w:val="20"/>
          <w:color w:val="auto"/>
        </w:rPr>
        <w:t>4.2 The second paragraph of Section 5 of the Lease is hereby amended by deleting the language beginning on line 14 (i.e., “Rent, the cost to repair. . . .”) to the end of that paragraph and replacing it with the following:</w:t>
      </w:r>
    </w:p>
    <w:p>
      <w:pPr>
        <w:spacing w:after="0" w:line="152" w:lineRule="exact"/>
        <w:rPr>
          <w:sz w:val="20"/>
          <w:szCs w:val="20"/>
          <w:color w:val="auto"/>
        </w:rPr>
      </w:pPr>
    </w:p>
    <w:p>
      <w:pPr>
        <w:ind w:left="2640"/>
        <w:spacing w:after="0" w:line="266" w:lineRule="auto"/>
        <w:rPr>
          <w:sz w:val="20"/>
          <w:szCs w:val="20"/>
          <w:color w:val="auto"/>
        </w:rPr>
      </w:pPr>
      <w:r>
        <w:rPr>
          <w:rFonts w:ascii="Arial" w:cs="Arial" w:eastAsia="Arial" w:hAnsi="Arial"/>
          <w:sz w:val="20"/>
          <w:szCs w:val="20"/>
          <w:color w:val="auto"/>
        </w:rPr>
        <w:t>Rent, and the cost to repair or replace exterior glass, caulking, or brick, the cost of any tuck pointing, excluding only:</w:t>
      </w:r>
    </w:p>
    <w:p>
      <w:pPr>
        <w:spacing w:after="0" w:line="152" w:lineRule="exact"/>
        <w:rPr>
          <w:sz w:val="20"/>
          <w:szCs w:val="20"/>
          <w:color w:val="auto"/>
        </w:rPr>
      </w:pPr>
    </w:p>
    <w:p>
      <w:pPr>
        <w:ind w:firstLine="1755"/>
        <w:spacing w:after="0" w:line="266" w:lineRule="auto"/>
        <w:rPr>
          <w:sz w:val="20"/>
          <w:szCs w:val="20"/>
          <w:color w:val="auto"/>
        </w:rPr>
      </w:pPr>
      <w:r>
        <w:rPr>
          <w:rFonts w:ascii="Arial" w:cs="Arial" w:eastAsia="Arial" w:hAnsi="Arial"/>
          <w:sz w:val="20"/>
          <w:szCs w:val="20"/>
          <w:color w:val="auto"/>
        </w:rPr>
        <w:t>4.3 Section 39(a) of the Lease is hereby amended by deleting the penultimate sentence and replacing it with the following sentence:</w:t>
      </w:r>
    </w:p>
    <w:p>
      <w:pPr>
        <w:spacing w:after="0" w:line="152" w:lineRule="exact"/>
        <w:rPr>
          <w:sz w:val="20"/>
          <w:szCs w:val="20"/>
          <w:color w:val="auto"/>
        </w:rPr>
      </w:pPr>
    </w:p>
    <w:p>
      <w:pPr>
        <w:ind w:left="2640"/>
        <w:spacing w:after="0" w:line="266" w:lineRule="auto"/>
        <w:rPr>
          <w:sz w:val="20"/>
          <w:szCs w:val="20"/>
          <w:color w:val="auto"/>
        </w:rPr>
      </w:pPr>
      <w:r>
        <w:rPr>
          <w:rFonts w:ascii="Arial" w:cs="Arial" w:eastAsia="Arial" w:hAnsi="Arial"/>
          <w:sz w:val="20"/>
          <w:szCs w:val="20"/>
          <w:color w:val="auto"/>
        </w:rPr>
        <w:t>In no event shall the Available Space include any space on the first floor for Landlord’s management office.</w:t>
      </w:r>
    </w:p>
    <w:p>
      <w:pPr>
        <w:spacing w:after="0" w:line="152" w:lineRule="exact"/>
        <w:rPr>
          <w:sz w:val="20"/>
          <w:szCs w:val="20"/>
          <w:color w:val="auto"/>
        </w:rPr>
      </w:pPr>
    </w:p>
    <w:p>
      <w:pPr>
        <w:ind w:right="20" w:firstLine="1755"/>
        <w:spacing w:after="0" w:line="266" w:lineRule="auto"/>
        <w:rPr>
          <w:sz w:val="20"/>
          <w:szCs w:val="20"/>
          <w:color w:val="auto"/>
        </w:rPr>
      </w:pPr>
      <w:r>
        <w:rPr>
          <w:rFonts w:ascii="Arial" w:cs="Arial" w:eastAsia="Arial" w:hAnsi="Arial"/>
          <w:sz w:val="20"/>
          <w:szCs w:val="20"/>
          <w:color w:val="auto"/>
        </w:rPr>
        <w:t>4.4 Section 40(a) of the Lease is hereby amended by deleting the third sentence and replacing it with the following sentence:</w:t>
      </w:r>
    </w:p>
    <w:p>
      <w:pPr>
        <w:spacing w:after="0" w:line="152" w:lineRule="exact"/>
        <w:rPr>
          <w:sz w:val="20"/>
          <w:szCs w:val="20"/>
          <w:color w:val="auto"/>
        </w:rPr>
      </w:pPr>
    </w:p>
    <w:p>
      <w:pPr>
        <w:ind w:left="2640"/>
        <w:spacing w:after="0" w:line="266" w:lineRule="auto"/>
        <w:rPr>
          <w:sz w:val="20"/>
          <w:szCs w:val="20"/>
          <w:color w:val="auto"/>
        </w:rPr>
      </w:pPr>
      <w:r>
        <w:rPr>
          <w:rFonts w:ascii="Arial" w:cs="Arial" w:eastAsia="Arial" w:hAnsi="Arial"/>
          <w:sz w:val="20"/>
          <w:szCs w:val="20"/>
          <w:color w:val="auto"/>
        </w:rPr>
        <w:t>In no event shall the Expansion Space include any space on the first floor for Landlord’s management office.</w:t>
      </w:r>
    </w:p>
    <w:p>
      <w:pPr>
        <w:spacing w:after="0" w:line="152" w:lineRule="exact"/>
        <w:rPr>
          <w:sz w:val="20"/>
          <w:szCs w:val="20"/>
          <w:color w:val="auto"/>
        </w:rPr>
      </w:pPr>
    </w:p>
    <w:p>
      <w:pPr>
        <w:ind w:firstLine="1755"/>
        <w:spacing w:after="0" w:line="266" w:lineRule="auto"/>
        <w:rPr>
          <w:sz w:val="20"/>
          <w:szCs w:val="20"/>
          <w:color w:val="auto"/>
        </w:rPr>
      </w:pPr>
      <w:r>
        <w:rPr>
          <w:rFonts w:ascii="Arial" w:cs="Arial" w:eastAsia="Arial" w:hAnsi="Arial"/>
          <w:sz w:val="20"/>
          <w:szCs w:val="20"/>
          <w:color w:val="auto"/>
        </w:rPr>
        <w:t>4.5 Section 41 of the Lease is hereby amended by deleting the second sentence and replacing it with the following sentence:</w:t>
      </w:r>
    </w:p>
    <w:p>
      <w:pPr>
        <w:spacing w:after="0" w:line="152" w:lineRule="exact"/>
        <w:rPr>
          <w:sz w:val="20"/>
          <w:szCs w:val="20"/>
          <w:color w:val="auto"/>
        </w:rPr>
      </w:pPr>
    </w:p>
    <w:p>
      <w:pPr>
        <w:ind w:left="2640"/>
        <w:spacing w:after="0" w:line="266" w:lineRule="auto"/>
        <w:rPr>
          <w:sz w:val="20"/>
          <w:szCs w:val="20"/>
          <w:color w:val="auto"/>
        </w:rPr>
      </w:pPr>
      <w:r>
        <w:rPr>
          <w:rFonts w:ascii="Arial" w:cs="Arial" w:eastAsia="Arial" w:hAnsi="Arial"/>
          <w:sz w:val="20"/>
          <w:szCs w:val="20"/>
          <w:color w:val="auto"/>
        </w:rPr>
        <w:t>The provisions of this Section shall not apply, however, to any space on the first floor for Landlord’s management office.</w:t>
      </w:r>
    </w:p>
    <w:p>
      <w:pPr>
        <w:spacing w:after="0" w:line="150" w:lineRule="exact"/>
        <w:rPr>
          <w:sz w:val="20"/>
          <w:szCs w:val="20"/>
          <w:color w:val="auto"/>
        </w:rPr>
      </w:pPr>
    </w:p>
    <w:p>
      <w:pPr>
        <w:ind w:left="1700" w:hanging="815"/>
        <w:spacing w:after="0"/>
        <w:tabs>
          <w:tab w:leader="none" w:pos="1700"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16"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b w:val="1"/>
          <w:bCs w:val="1"/>
          <w:color w:val="auto"/>
        </w:rPr>
        <w:t>Entire Agreement</w:t>
      </w:r>
      <w:r>
        <w:rPr>
          <w:rFonts w:ascii="Arial" w:cs="Arial" w:eastAsia="Arial" w:hAnsi="Arial"/>
          <w:sz w:val="20"/>
          <w:szCs w:val="20"/>
          <w:color w:val="auto"/>
        </w:rPr>
        <w:t>. The Lease, as amended by this First Amendment, is the entire agreement between the parties with respect to the subject matter hereof and supersedes all prior and contemporaneous oral and written agreements and discussions. The Lease, as so amended by this First Amendment, may be amended only by an agreement in writing, signed by the parties hereto.</w:t>
      </w:r>
    </w:p>
    <w:p>
      <w:pPr>
        <w:spacing w:after="0" w:line="178"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b w:val="1"/>
          <w:bCs w:val="1"/>
          <w:color w:val="auto"/>
        </w:rPr>
        <w:t>Binding Effect</w:t>
      </w:r>
      <w:r>
        <w:rPr>
          <w:rFonts w:ascii="Arial" w:cs="Arial" w:eastAsia="Arial" w:hAnsi="Arial"/>
          <w:sz w:val="20"/>
          <w:szCs w:val="20"/>
          <w:color w:val="auto"/>
        </w:rPr>
        <w:t>. This First Amendment is binding upon and shall inure to the benefit of the parties hereto, their respective agents, employees, members, representatives, officers, directors, divisions, subsidiaries, affiliates, assigns, heirs, successors in interest and shareholders.</w:t>
      </w:r>
    </w:p>
    <w:p>
      <w:pPr>
        <w:spacing w:after="0" w:line="189"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Copyright © 2012. Alexandria Real Estate Equities, Inc. ALL RIGHTS</w:t>
      </w:r>
    </w:p>
    <w:p>
      <w:pPr>
        <w:spacing w:after="0" w:line="19"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RESERVED. Confidential and Proprietary. Do Not Copy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-70485</wp:posOffset>
            </wp:positionV>
            <wp:extent cx="702945"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02945" cy="24892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Distribute. Alexandria and Alexandria Logo are registered trademarks of</w:t>
      </w:r>
    </w:p>
    <w:p>
      <w:pPr>
        <w:spacing w:after="0" w:line="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Alexandria Real Estate Equities,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46154413-v4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67" w:name="page68"/>
    <w:bookmarkEnd w:id="67"/>
    <w:p>
      <w:pPr>
        <w:spacing w:after="0"/>
        <w:tabs>
          <w:tab w:leader="none" w:pos="10780" w:val="left"/>
        </w:tabs>
        <w:rPr>
          <w:sz w:val="20"/>
          <w:szCs w:val="20"/>
          <w:color w:val="auto"/>
        </w:rPr>
      </w:pPr>
      <w:r>
        <w:rPr>
          <w:rFonts w:ascii="Arial" w:cs="Arial" w:eastAsia="Arial" w:hAnsi="Arial"/>
          <w:sz w:val="16"/>
          <w:szCs w:val="16"/>
          <w:b w:val="1"/>
          <w:bCs w:val="1"/>
          <w:color w:val="auto"/>
        </w:rPr>
        <w:t>First Amendment to Lease Agreement –-RegenXBio Inc.</w:t>
      </w:r>
      <w:r>
        <w:rPr>
          <w:sz w:val="20"/>
          <w:szCs w:val="20"/>
          <w:color w:val="auto"/>
        </w:rPr>
        <w:tab/>
      </w:r>
      <w:r>
        <w:rPr>
          <w:rFonts w:ascii="Arial" w:cs="Arial" w:eastAsia="Arial" w:hAnsi="Arial"/>
          <w:sz w:val="16"/>
          <w:szCs w:val="16"/>
          <w:b w:val="1"/>
          <w:bCs w:val="1"/>
          <w:color w:val="auto"/>
        </w:rPr>
        <w:t xml:space="preserve">Page - </w:t>
      </w:r>
      <w:r>
        <w:rPr>
          <w:rFonts w:ascii="Arial" w:cs="Arial" w:eastAsia="Arial" w:hAnsi="Arial"/>
          <w:sz w:val="16"/>
          <w:szCs w:val="16"/>
          <w:color w:val="auto"/>
        </w:rPr>
        <w:t>5</w:t>
      </w:r>
    </w:p>
    <w:p>
      <w:pPr>
        <w:spacing w:after="0" w:line="210"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b w:val="1"/>
          <w:bCs w:val="1"/>
          <w:color w:val="auto"/>
        </w:rPr>
        <w:t>Broker</w:t>
      </w:r>
      <w:r>
        <w:rPr>
          <w:rFonts w:ascii="Arial" w:cs="Arial" w:eastAsia="Arial" w:hAnsi="Arial"/>
          <w:sz w:val="20"/>
          <w:szCs w:val="20"/>
          <w:color w:val="auto"/>
        </w:rPr>
        <w:t>. Landlord and Tenant each represents and warrants that it has not dealt with any broker, agent or other person (collectively, “</w:t>
      </w:r>
      <w:r>
        <w:rPr>
          <w:rFonts w:ascii="Arial" w:cs="Arial" w:eastAsia="Arial" w:hAnsi="Arial"/>
          <w:sz w:val="20"/>
          <w:szCs w:val="20"/>
          <w:b w:val="1"/>
          <w:bCs w:val="1"/>
          <w:color w:val="auto"/>
        </w:rPr>
        <w:t>Broker</w:t>
      </w:r>
      <w:r>
        <w:rPr>
          <w:rFonts w:ascii="Arial" w:cs="Arial" w:eastAsia="Arial" w:hAnsi="Arial"/>
          <w:sz w:val="20"/>
          <w:szCs w:val="20"/>
          <w:color w:val="auto"/>
        </w:rPr>
        <w:t>”) in connection with this First Amendment and that no Broker brought about this transaction, other than Tenant’s broker, Cresa Global Inc. d/b/a Cresa (“</w:t>
      </w:r>
      <w:r>
        <w:rPr>
          <w:rFonts w:ascii="Arial" w:cs="Arial" w:eastAsia="Arial" w:hAnsi="Arial"/>
          <w:sz w:val="20"/>
          <w:szCs w:val="20"/>
          <w:b w:val="1"/>
          <w:bCs w:val="1"/>
          <w:color w:val="auto"/>
        </w:rPr>
        <w:t>Cresa</w:t>
      </w:r>
      <w:r>
        <w:rPr>
          <w:rFonts w:ascii="Arial" w:cs="Arial" w:eastAsia="Arial" w:hAnsi="Arial"/>
          <w:sz w:val="20"/>
          <w:szCs w:val="20"/>
          <w:color w:val="auto"/>
        </w:rPr>
        <w:t>”). Cresa shall be paid by Landlord pursuant to a separate agreement between Landlord and Cresa. Landlord and Tenant each hereby agree to indemnify, defend, and hold the other harmless from and against any claims by any Broker, other than Cresa, claiming a commission or other form of compensation by virtue of having dealt with Tenant or Landlord, as applicable, with regard to this First Amendment.</w:t>
      </w:r>
    </w:p>
    <w:p>
      <w:pPr>
        <w:spacing w:after="0" w:line="175" w:lineRule="exact"/>
        <w:rPr>
          <w:sz w:val="20"/>
          <w:szCs w:val="20"/>
          <w:color w:val="auto"/>
        </w:rPr>
      </w:pPr>
    </w:p>
    <w:p>
      <w:pPr>
        <w:jc w:val="both"/>
        <w:ind w:firstLine="1755"/>
        <w:spacing w:after="0"/>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b w:val="1"/>
          <w:bCs w:val="1"/>
          <w:color w:val="auto"/>
        </w:rPr>
        <w:t>Counterparts</w:t>
      </w:r>
      <w:r>
        <w:rPr>
          <w:rFonts w:ascii="Arial" w:cs="Arial" w:eastAsia="Arial" w:hAnsi="Arial"/>
          <w:sz w:val="20"/>
          <w:szCs w:val="20"/>
          <w:color w:val="auto"/>
        </w:rPr>
        <w:t>. This First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First Amendment and all matters related thereto, with such electronic signatures having the same legal effect as original signatures.</w:t>
      </w:r>
    </w:p>
    <w:p>
      <w:pPr>
        <w:spacing w:after="0" w:line="362"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b w:val="1"/>
          <w:bCs w:val="1"/>
          <w:color w:val="auto"/>
        </w:rPr>
        <w:t>Ratification; Conflicts</w:t>
      </w:r>
      <w:r>
        <w:rPr>
          <w:rFonts w:ascii="Arial" w:cs="Arial" w:eastAsia="Arial" w:hAnsi="Arial"/>
          <w:sz w:val="20"/>
          <w:szCs w:val="20"/>
          <w:color w:val="auto"/>
        </w:rPr>
        <w:t>. 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Regardless of whether specifically amended by this First Amendment, all of the terms and provisions of the Lease are hereby amended to the extent necessary to give effect to the purpose and intent of this First Amendment.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SIGNATURES APPEAR ON NEXT PAGE</w:t>
      </w:r>
      <w:r>
        <w:rPr>
          <w:rFonts w:ascii="Arial" w:cs="Arial" w:eastAsia="Arial" w:hAnsi="Arial"/>
          <w:sz w:val="20"/>
          <w:szCs w:val="20"/>
          <w:color w:val="auto"/>
        </w:rPr>
        <w:t>]</w:t>
      </w:r>
    </w:p>
    <w:p>
      <w:pPr>
        <w:spacing w:after="0" w:line="234"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Copyright © 2012. Alexandria Real Estate Equities, Inc. ALL RIGHTS</w:t>
      </w:r>
    </w:p>
    <w:p>
      <w:pPr>
        <w:spacing w:after="0" w:line="19"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RESERVED. Confidential and Proprietary. Do Not Copy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-70485</wp:posOffset>
            </wp:positionV>
            <wp:extent cx="702945" cy="248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02945" cy="24892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Distribute. Alexandria and Alexandria Logo are registered trademarks of</w:t>
      </w:r>
    </w:p>
    <w:p>
      <w:pPr>
        <w:spacing w:after="0" w:line="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Alexandria Real Estate Equities,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46154413-v4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68" w:name="page69"/>
    <w:bookmarkEnd w:id="68"/>
    <w:p>
      <w:pPr>
        <w:spacing w:after="0"/>
        <w:tabs>
          <w:tab w:leader="none" w:pos="10780" w:val="left"/>
        </w:tabs>
        <w:rPr>
          <w:sz w:val="20"/>
          <w:szCs w:val="20"/>
          <w:color w:val="auto"/>
        </w:rPr>
      </w:pPr>
      <w:r>
        <w:rPr>
          <w:rFonts w:ascii="Arial" w:cs="Arial" w:eastAsia="Arial" w:hAnsi="Arial"/>
          <w:sz w:val="16"/>
          <w:szCs w:val="16"/>
          <w:b w:val="1"/>
          <w:bCs w:val="1"/>
          <w:color w:val="auto"/>
        </w:rPr>
        <w:t>First Amendment to Lease Agreement –-RegenXBio Inc.</w:t>
      </w:r>
      <w:r>
        <w:rPr>
          <w:sz w:val="20"/>
          <w:szCs w:val="20"/>
          <w:color w:val="auto"/>
        </w:rPr>
        <w:tab/>
      </w:r>
      <w:r>
        <w:rPr>
          <w:rFonts w:ascii="Arial" w:cs="Arial" w:eastAsia="Arial" w:hAnsi="Arial"/>
          <w:sz w:val="16"/>
          <w:szCs w:val="16"/>
          <w:b w:val="1"/>
          <w:bCs w:val="1"/>
          <w:color w:val="auto"/>
        </w:rPr>
        <w:t xml:space="preserve">Page - </w:t>
      </w:r>
      <w:r>
        <w:rPr>
          <w:rFonts w:ascii="Arial" w:cs="Arial" w:eastAsia="Arial" w:hAnsi="Arial"/>
          <w:sz w:val="16"/>
          <w:szCs w:val="16"/>
          <w:color w:val="auto"/>
        </w:rPr>
        <w:t>6</w:t>
      </w:r>
    </w:p>
    <w:p>
      <w:pPr>
        <w:spacing w:after="0" w:line="212" w:lineRule="exact"/>
        <w:rPr>
          <w:sz w:val="20"/>
          <w:szCs w:val="20"/>
          <w:color w:val="auto"/>
        </w:rPr>
      </w:pPr>
    </w:p>
    <w:p>
      <w:pPr>
        <w:ind w:firstLine="877"/>
        <w:spacing w:after="0" w:line="266" w:lineRule="auto"/>
        <w:rPr>
          <w:sz w:val="20"/>
          <w:szCs w:val="20"/>
          <w:color w:val="auto"/>
        </w:rPr>
      </w:pPr>
      <w:r>
        <w:rPr>
          <w:rFonts w:ascii="Arial" w:cs="Arial" w:eastAsia="Arial" w:hAnsi="Arial"/>
          <w:sz w:val="20"/>
          <w:szCs w:val="20"/>
          <w:color w:val="auto"/>
        </w:rPr>
        <w:t>IN WITNESS WHEREOF, the parties hereto have executed this First Amendment under seal as of the day and year first above written.</w:t>
      </w:r>
    </w:p>
    <w:p>
      <w:pPr>
        <w:spacing w:after="0" w:line="14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8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TENANT: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23"/>
        </w:trPr>
        <w:tc>
          <w:tcPr>
            <w:tcW w:w="2460" w:type="dxa"/>
            <w:vAlign w:val="bottom"/>
            <w:gridSpan w:val="4"/>
          </w:tcPr>
          <w:p>
            <w:pPr>
              <w:spacing w:after="0"/>
              <w:rPr>
                <w:sz w:val="20"/>
                <w:szCs w:val="20"/>
                <w:color w:val="auto"/>
              </w:rPr>
            </w:pPr>
            <w:r>
              <w:rPr>
                <w:rFonts w:ascii="Arial" w:cs="Arial" w:eastAsia="Arial" w:hAnsi="Arial"/>
                <w:sz w:val="20"/>
                <w:szCs w:val="20"/>
                <w:color w:val="auto"/>
              </w:rPr>
              <w:t>REGENXBIO INC.,</w:t>
            </w: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9"/>
        </w:trPr>
        <w:tc>
          <w:tcPr>
            <w:tcW w:w="2460" w:type="dxa"/>
            <w:vAlign w:val="bottom"/>
            <w:gridSpan w:val="4"/>
          </w:tcPr>
          <w:p>
            <w:pPr>
              <w:spacing w:after="0"/>
              <w:rPr>
                <w:sz w:val="20"/>
                <w:szCs w:val="20"/>
                <w:color w:val="auto"/>
              </w:rPr>
            </w:pPr>
            <w:r>
              <w:rPr>
                <w:rFonts w:ascii="Arial" w:cs="Arial" w:eastAsia="Arial" w:hAnsi="Arial"/>
                <w:sz w:val="20"/>
                <w:szCs w:val="20"/>
                <w:color w:val="auto"/>
              </w:rPr>
              <w:t>a Delaware corporation</w:t>
            </w:r>
          </w:p>
        </w:tc>
        <w:tc>
          <w:tcPr>
            <w:tcW w:w="2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36"/>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6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20"/>
                <w:szCs w:val="20"/>
                <w:color w:val="auto"/>
              </w:rPr>
              <w:t>/s/ Kenneth Mills</w:t>
            </w:r>
          </w:p>
        </w:tc>
        <w:tc>
          <w:tcPr>
            <w:tcW w:w="2920" w:type="dxa"/>
            <w:vAlign w:val="bottom"/>
          </w:tcPr>
          <w:p>
            <w:pPr>
              <w:spacing w:after="0"/>
              <w:rPr>
                <w:sz w:val="24"/>
                <w:szCs w:val="24"/>
                <w:color w:val="auto"/>
              </w:rPr>
            </w:pPr>
          </w:p>
        </w:tc>
        <w:tc>
          <w:tcPr>
            <w:tcW w:w="1460" w:type="dxa"/>
            <w:vAlign w:val="bottom"/>
            <w:gridSpan w:val="2"/>
          </w:tcPr>
          <w:p>
            <w:pPr>
              <w:ind w:left="420"/>
              <w:spacing w:after="0"/>
              <w:rPr>
                <w:sz w:val="20"/>
                <w:szCs w:val="20"/>
                <w:color w:val="auto"/>
              </w:rPr>
            </w:pPr>
            <w:r>
              <w:rPr>
                <w:rFonts w:ascii="Arial" w:cs="Arial" w:eastAsia="Arial" w:hAnsi="Arial"/>
                <w:sz w:val="20"/>
                <w:szCs w:val="20"/>
                <w:color w:val="auto"/>
              </w:rPr>
              <w:t>(SEAL)</w:t>
            </w:r>
          </w:p>
        </w:tc>
      </w:tr>
      <w:tr>
        <w:trPr>
          <w:trHeight w:val="223"/>
        </w:trPr>
        <w:tc>
          <w:tcPr>
            <w:tcW w:w="82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60" w:type="dxa"/>
            <w:vAlign w:val="bottom"/>
          </w:tcPr>
          <w:p>
            <w:pPr>
              <w:spacing w:after="0"/>
              <w:rPr>
                <w:sz w:val="19"/>
                <w:szCs w:val="19"/>
                <w:color w:val="auto"/>
              </w:rPr>
            </w:pPr>
          </w:p>
        </w:tc>
        <w:tc>
          <w:tcPr>
            <w:tcW w:w="1580" w:type="dxa"/>
            <w:vAlign w:val="bottom"/>
            <w:tcBorders>
              <w:top w:val="single" w:sz="8" w:color="auto"/>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Kenneth Mills</w:t>
            </w:r>
          </w:p>
        </w:tc>
        <w:tc>
          <w:tcPr>
            <w:tcW w:w="29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82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60" w:type="dxa"/>
            <w:vAlign w:val="bottom"/>
          </w:tcPr>
          <w:p>
            <w:pPr>
              <w:spacing w:after="0"/>
              <w:rPr>
                <w:sz w:val="19"/>
                <w:szCs w:val="19"/>
                <w:color w:val="auto"/>
              </w:rPr>
            </w:pPr>
          </w:p>
        </w:tc>
        <w:tc>
          <w:tcPr>
            <w:tcW w:w="158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President &amp; CEO</w:t>
            </w:r>
          </w:p>
        </w:tc>
        <w:tc>
          <w:tcPr>
            <w:tcW w:w="2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642"/>
        </w:trPr>
        <w:tc>
          <w:tcPr>
            <w:tcW w:w="2460" w:type="dxa"/>
            <w:vAlign w:val="bottom"/>
            <w:gridSpan w:val="4"/>
          </w:tcPr>
          <w:p>
            <w:pPr>
              <w:spacing w:after="0"/>
              <w:rPr>
                <w:sz w:val="20"/>
                <w:szCs w:val="20"/>
                <w:color w:val="auto"/>
              </w:rPr>
            </w:pPr>
            <w:r>
              <w:rPr>
                <w:rFonts w:ascii="Arial" w:cs="Arial" w:eastAsia="Arial" w:hAnsi="Arial"/>
                <w:sz w:val="20"/>
                <w:szCs w:val="20"/>
                <w:color w:val="auto"/>
              </w:rPr>
              <w:t>LANDLORD:</w:t>
            </w: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080" w:type="dxa"/>
            <w:vAlign w:val="bottom"/>
            <w:gridSpan w:val="3"/>
            <w:shd w:val="clear" w:color="auto" w:fill="000000"/>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3"/>
        </w:trPr>
        <w:tc>
          <w:tcPr>
            <w:tcW w:w="5380" w:type="dxa"/>
            <w:vAlign w:val="bottom"/>
            <w:gridSpan w:val="5"/>
          </w:tcPr>
          <w:p>
            <w:pPr>
              <w:spacing w:after="0"/>
              <w:rPr>
                <w:sz w:val="20"/>
                <w:szCs w:val="20"/>
                <w:color w:val="auto"/>
              </w:rPr>
            </w:pPr>
            <w:r>
              <w:rPr>
                <w:rFonts w:ascii="Arial" w:cs="Arial" w:eastAsia="Arial" w:hAnsi="Arial"/>
                <w:sz w:val="20"/>
                <w:szCs w:val="20"/>
                <w:color w:val="auto"/>
              </w:rPr>
              <w:t>ARE-MARYLAND NO. 24, LLC,</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9"/>
        </w:trPr>
        <w:tc>
          <w:tcPr>
            <w:tcW w:w="5380" w:type="dxa"/>
            <w:vAlign w:val="bottom"/>
            <w:gridSpan w:val="5"/>
          </w:tcPr>
          <w:p>
            <w:pPr>
              <w:spacing w:after="0"/>
              <w:rPr>
                <w:sz w:val="20"/>
                <w:szCs w:val="20"/>
                <w:color w:val="auto"/>
              </w:rPr>
            </w:pPr>
            <w:r>
              <w:rPr>
                <w:rFonts w:ascii="Arial" w:cs="Arial" w:eastAsia="Arial" w:hAnsi="Arial"/>
                <w:sz w:val="20"/>
                <w:szCs w:val="20"/>
                <w:color w:val="auto"/>
              </w:rPr>
              <w:t>a Delaware limited liability company</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06"/>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gridSpan w:val="4"/>
          </w:tcPr>
          <w:p>
            <w:pPr>
              <w:ind w:left="60"/>
              <w:spacing w:after="0"/>
              <w:rPr>
                <w:sz w:val="20"/>
                <w:szCs w:val="20"/>
                <w:color w:val="auto"/>
              </w:rPr>
            </w:pPr>
            <w:r>
              <w:rPr>
                <w:rFonts w:ascii="Arial" w:cs="Arial" w:eastAsia="Arial" w:hAnsi="Arial"/>
                <w:sz w:val="20"/>
                <w:szCs w:val="20"/>
                <w:color w:val="auto"/>
              </w:rPr>
              <w:t>ALEXANDRIA REAL ESTATE EQUITIES, L.P.,</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4560" w:type="dxa"/>
            <w:vAlign w:val="bottom"/>
            <w:gridSpan w:val="4"/>
          </w:tcPr>
          <w:p>
            <w:pPr>
              <w:ind w:left="60"/>
              <w:spacing w:after="0"/>
              <w:rPr>
                <w:sz w:val="20"/>
                <w:szCs w:val="20"/>
                <w:color w:val="auto"/>
              </w:rPr>
            </w:pPr>
            <w:r>
              <w:rPr>
                <w:rFonts w:ascii="Arial" w:cs="Arial" w:eastAsia="Arial" w:hAnsi="Arial"/>
                <w:sz w:val="20"/>
                <w:szCs w:val="20"/>
                <w:color w:val="auto"/>
              </w:rPr>
              <w:t>a Delaware limited partnership,</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9"/>
        </w:trPr>
        <w:tc>
          <w:tcPr>
            <w:tcW w:w="820" w:type="dxa"/>
            <w:vAlign w:val="bottom"/>
          </w:tcPr>
          <w:p>
            <w:pPr>
              <w:spacing w:after="0"/>
              <w:rPr>
                <w:sz w:val="23"/>
                <w:szCs w:val="23"/>
                <w:color w:val="auto"/>
              </w:rPr>
            </w:pPr>
          </w:p>
        </w:tc>
        <w:tc>
          <w:tcPr>
            <w:tcW w:w="4560" w:type="dxa"/>
            <w:vAlign w:val="bottom"/>
            <w:gridSpan w:val="4"/>
          </w:tcPr>
          <w:p>
            <w:pPr>
              <w:ind w:left="60"/>
              <w:spacing w:after="0"/>
              <w:rPr>
                <w:sz w:val="20"/>
                <w:szCs w:val="20"/>
                <w:color w:val="auto"/>
              </w:rPr>
            </w:pPr>
            <w:r>
              <w:rPr>
                <w:rFonts w:ascii="Arial" w:cs="Arial" w:eastAsia="Arial" w:hAnsi="Arial"/>
                <w:sz w:val="20"/>
                <w:szCs w:val="20"/>
                <w:color w:val="auto"/>
              </w:rPr>
              <w:t>managing member</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20"/>
        </w:trPr>
        <w:tc>
          <w:tcPr>
            <w:tcW w:w="820" w:type="dxa"/>
            <w:vAlign w:val="bottom"/>
          </w:tcPr>
          <w:p>
            <w:pPr>
              <w:spacing w:after="0"/>
              <w:rPr>
                <w:sz w:val="24"/>
                <w:szCs w:val="24"/>
                <w:color w:val="auto"/>
              </w:rPr>
            </w:pPr>
          </w:p>
        </w:tc>
        <w:tc>
          <w:tcPr>
            <w:tcW w:w="4560" w:type="dxa"/>
            <w:vAlign w:val="bottom"/>
            <w:gridSpan w:val="4"/>
          </w:tcPr>
          <w:p>
            <w:pPr>
              <w:ind w:left="20"/>
              <w:spacing w:after="0"/>
              <w:rPr>
                <w:sz w:val="20"/>
                <w:szCs w:val="20"/>
                <w:color w:val="auto"/>
              </w:rPr>
            </w:pPr>
            <w:r>
              <w:rPr>
                <w:rFonts w:ascii="Arial" w:cs="Arial" w:eastAsia="Arial" w:hAnsi="Arial"/>
                <w:sz w:val="20"/>
                <w:szCs w:val="20"/>
                <w:color w:val="auto"/>
              </w:rPr>
              <w:t>By:   ARE-QRS CORP.,</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gridSpan w:val="2"/>
          </w:tcPr>
          <w:p>
            <w:pPr>
              <w:ind w:left="360"/>
              <w:spacing w:after="0"/>
              <w:rPr>
                <w:sz w:val="20"/>
                <w:szCs w:val="20"/>
                <w:color w:val="auto"/>
              </w:rPr>
            </w:pPr>
            <w:r>
              <w:rPr>
                <w:rFonts w:ascii="Arial" w:cs="Arial" w:eastAsia="Arial" w:hAnsi="Arial"/>
                <w:sz w:val="20"/>
                <w:szCs w:val="20"/>
                <w:color w:val="auto"/>
              </w:rPr>
              <w:t>a Maryland corporation,</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9"/>
        </w:trPr>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300" w:type="dxa"/>
            <w:vAlign w:val="bottom"/>
            <w:gridSpan w:val="2"/>
          </w:tcPr>
          <w:p>
            <w:pPr>
              <w:ind w:left="360"/>
              <w:spacing w:after="0"/>
              <w:rPr>
                <w:sz w:val="20"/>
                <w:szCs w:val="20"/>
                <w:color w:val="auto"/>
              </w:rPr>
            </w:pPr>
            <w:r>
              <w:rPr>
                <w:rFonts w:ascii="Arial" w:cs="Arial" w:eastAsia="Arial" w:hAnsi="Arial"/>
                <w:sz w:val="20"/>
                <w:szCs w:val="20"/>
                <w:color w:val="auto"/>
              </w:rPr>
              <w:t>general partner</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49"/>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ind w:left="620"/>
              <w:spacing w:after="0"/>
              <w:rPr>
                <w:sz w:val="20"/>
                <w:szCs w:val="20"/>
                <w:color w:val="auto"/>
              </w:rPr>
            </w:pPr>
            <w:r>
              <w:rPr>
                <w:rFonts w:ascii="Arial" w:cs="Arial" w:eastAsia="Arial" w:hAnsi="Arial"/>
                <w:sz w:val="20"/>
                <w:szCs w:val="20"/>
                <w:color w:val="auto"/>
              </w:rPr>
              <w:t>By:</w:t>
            </w:r>
          </w:p>
        </w:tc>
        <w:tc>
          <w:tcPr>
            <w:tcW w:w="2920" w:type="dxa"/>
            <w:vAlign w:val="bottom"/>
          </w:tcPr>
          <w:p>
            <w:pPr>
              <w:spacing w:after="0"/>
              <w:rPr>
                <w:sz w:val="20"/>
                <w:szCs w:val="20"/>
                <w:color w:val="auto"/>
              </w:rPr>
            </w:pPr>
            <w:r>
              <w:rPr>
                <w:rFonts w:ascii="Arial" w:cs="Arial" w:eastAsia="Arial" w:hAnsi="Arial"/>
                <w:sz w:val="20"/>
                <w:szCs w:val="20"/>
                <w:color w:val="auto"/>
              </w:rPr>
              <w:t>/s/ Jackie Clem</w:t>
            </w:r>
          </w:p>
        </w:tc>
        <w:tc>
          <w:tcPr>
            <w:tcW w:w="1460" w:type="dxa"/>
            <w:vAlign w:val="bottom"/>
            <w:gridSpan w:val="2"/>
          </w:tcPr>
          <w:p>
            <w:pPr>
              <w:ind w:left="420"/>
              <w:spacing w:after="0"/>
              <w:rPr>
                <w:sz w:val="20"/>
                <w:szCs w:val="20"/>
                <w:color w:val="auto"/>
              </w:rPr>
            </w:pPr>
            <w:r>
              <w:rPr>
                <w:rFonts w:ascii="Arial" w:cs="Arial" w:eastAsia="Arial" w:hAnsi="Arial"/>
                <w:sz w:val="20"/>
                <w:szCs w:val="20"/>
                <w:color w:val="auto"/>
              </w:rPr>
              <w:t>(SEAL)</w:t>
            </w:r>
          </w:p>
        </w:tc>
      </w:tr>
      <w:tr>
        <w:trPr>
          <w:trHeight w:val="223"/>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ind w:left="620"/>
              <w:spacing w:after="0" w:line="223" w:lineRule="exact"/>
              <w:rPr>
                <w:sz w:val="20"/>
                <w:szCs w:val="20"/>
                <w:color w:val="auto"/>
              </w:rPr>
            </w:pPr>
            <w:r>
              <w:rPr>
                <w:rFonts w:ascii="Arial" w:cs="Arial" w:eastAsia="Arial" w:hAnsi="Arial"/>
                <w:sz w:val="20"/>
                <w:szCs w:val="20"/>
                <w:color w:val="auto"/>
              </w:rPr>
              <w:t>Name:</w:t>
            </w:r>
          </w:p>
        </w:tc>
        <w:tc>
          <w:tcPr>
            <w:tcW w:w="292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Jackie Clem</w:t>
            </w:r>
          </w:p>
        </w:tc>
        <w:tc>
          <w:tcPr>
            <w:tcW w:w="420" w:type="dxa"/>
            <w:vAlign w:val="bottom"/>
            <w:tcBorders>
              <w:top w:val="single" w:sz="8" w:color="auto"/>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ind w:left="620"/>
              <w:spacing w:after="0" w:line="223" w:lineRule="exact"/>
              <w:rPr>
                <w:sz w:val="20"/>
                <w:szCs w:val="20"/>
                <w:color w:val="auto"/>
              </w:rPr>
            </w:pPr>
            <w:r>
              <w:rPr>
                <w:rFonts w:ascii="Arial" w:cs="Arial" w:eastAsia="Arial" w:hAnsi="Arial"/>
                <w:sz w:val="20"/>
                <w:szCs w:val="20"/>
                <w:color w:val="auto"/>
              </w:rPr>
              <w:t>Title:</w:t>
            </w:r>
          </w:p>
        </w:tc>
        <w:tc>
          <w:tcPr>
            <w:tcW w:w="29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Senior Vice President</w:t>
            </w:r>
          </w:p>
        </w:tc>
        <w:tc>
          <w:tcPr>
            <w:tcW w:w="4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263"/>
        </w:trPr>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920" w:type="dxa"/>
            <w:vAlign w:val="bottom"/>
          </w:tcPr>
          <w:p>
            <w:pPr>
              <w:spacing w:after="0"/>
              <w:rPr>
                <w:sz w:val="20"/>
                <w:szCs w:val="20"/>
                <w:color w:val="auto"/>
              </w:rPr>
            </w:pPr>
            <w:r>
              <w:rPr>
                <w:rFonts w:ascii="Arial" w:cs="Arial" w:eastAsia="Arial" w:hAnsi="Arial"/>
                <w:sz w:val="20"/>
                <w:szCs w:val="20"/>
                <w:color w:val="auto"/>
              </w:rPr>
              <w:t>RE Legal Affairs</w:t>
            </w: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177"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Copyright © 2012. Alexandria Real Estate Equities, Inc. ALL RIGHTS</w:t>
      </w:r>
    </w:p>
    <w:p>
      <w:pPr>
        <w:spacing w:after="0" w:line="19"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RESERVED. Confidential and Proprietary. Do Not Copy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-70485</wp:posOffset>
            </wp:positionV>
            <wp:extent cx="702945" cy="248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02945" cy="24892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Distribute. Alexandria and Alexandria Logo are registered trademarks of</w:t>
      </w:r>
    </w:p>
    <w:p>
      <w:pPr>
        <w:spacing w:after="0" w:line="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Alexandria Real Estate Equities,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46154413-v4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69" w:name="page70"/>
    <w:bookmarkEnd w:id="69"/>
    <w:p>
      <w:pPr>
        <w:spacing w:after="0"/>
        <w:tabs>
          <w:tab w:leader="none" w:pos="10780" w:val="left"/>
        </w:tabs>
        <w:rPr>
          <w:sz w:val="20"/>
          <w:szCs w:val="20"/>
          <w:color w:val="auto"/>
        </w:rPr>
      </w:pPr>
      <w:r>
        <w:rPr>
          <w:rFonts w:ascii="Arial" w:cs="Arial" w:eastAsia="Arial" w:hAnsi="Arial"/>
          <w:sz w:val="16"/>
          <w:szCs w:val="16"/>
          <w:b w:val="1"/>
          <w:bCs w:val="1"/>
          <w:color w:val="auto"/>
        </w:rPr>
        <w:t>First Amendment to Lease Agreement –-RegenXBio Inc.</w:t>
      </w:r>
      <w:r>
        <w:rPr>
          <w:sz w:val="20"/>
          <w:szCs w:val="20"/>
          <w:color w:val="auto"/>
        </w:rPr>
        <w:tab/>
      </w:r>
      <w:r>
        <w:rPr>
          <w:rFonts w:ascii="Arial" w:cs="Arial" w:eastAsia="Arial" w:hAnsi="Arial"/>
          <w:sz w:val="16"/>
          <w:szCs w:val="16"/>
          <w:b w:val="1"/>
          <w:bCs w:val="1"/>
          <w:color w:val="auto"/>
        </w:rPr>
        <w:t xml:space="preserve">Page - </w:t>
      </w:r>
      <w:r>
        <w:rPr>
          <w:rFonts w:ascii="Arial" w:cs="Arial" w:eastAsia="Arial" w:hAnsi="Arial"/>
          <w:sz w:val="16"/>
          <w:szCs w:val="16"/>
          <w:color w:val="auto"/>
        </w:rPr>
        <w:t>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285115</wp:posOffset>
            </wp:positionV>
            <wp:extent cx="4999990" cy="31470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4999990"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Copyright © 2012. Alexandria Real Estate Equities, Inc. ALL RIGHTS</w:t>
      </w:r>
    </w:p>
    <w:p>
      <w:pPr>
        <w:spacing w:after="0" w:line="19"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RESERVED. Confidential and Proprietary. Do Not Copy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-70485</wp:posOffset>
            </wp:positionV>
            <wp:extent cx="702945" cy="248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02945" cy="24892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Distribute. Alexandria and Alexandria Logo are registered trademarks of</w:t>
      </w:r>
    </w:p>
    <w:p>
      <w:pPr>
        <w:spacing w:after="0" w:line="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Alexandria Real Estate Equities,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46154413-v4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70" w:name="page71"/>
    <w:bookmarkEnd w:id="70"/>
    <w:p>
      <w:pPr>
        <w:spacing w:after="0"/>
        <w:tabs>
          <w:tab w:leader="none" w:pos="10780" w:val="left"/>
        </w:tabs>
        <w:rPr>
          <w:sz w:val="20"/>
          <w:szCs w:val="20"/>
          <w:color w:val="auto"/>
        </w:rPr>
      </w:pPr>
      <w:r>
        <w:rPr>
          <w:rFonts w:ascii="Arial" w:cs="Arial" w:eastAsia="Arial" w:hAnsi="Arial"/>
          <w:sz w:val="16"/>
          <w:szCs w:val="16"/>
          <w:b w:val="1"/>
          <w:bCs w:val="1"/>
          <w:color w:val="auto"/>
        </w:rPr>
        <w:t>First Amendment to Lease Agreement –-RegenXBio Inc.</w:t>
      </w:r>
      <w:r>
        <w:rPr>
          <w:sz w:val="20"/>
          <w:szCs w:val="20"/>
          <w:color w:val="auto"/>
        </w:rPr>
        <w:tab/>
      </w:r>
      <w:r>
        <w:rPr>
          <w:rFonts w:ascii="Arial" w:cs="Arial" w:eastAsia="Arial" w:hAnsi="Arial"/>
          <w:sz w:val="16"/>
          <w:szCs w:val="16"/>
          <w:b w:val="1"/>
          <w:bCs w:val="1"/>
          <w:color w:val="auto"/>
        </w:rPr>
        <w:t xml:space="preserve">Page - </w:t>
      </w:r>
      <w:r>
        <w:rPr>
          <w:rFonts w:ascii="Arial" w:cs="Arial" w:eastAsia="Arial" w:hAnsi="Arial"/>
          <w:sz w:val="16"/>
          <w:szCs w:val="16"/>
          <w:color w:val="auto"/>
        </w:rPr>
        <w:t>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PREMISES—continued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285115</wp:posOffset>
            </wp:positionV>
            <wp:extent cx="5351145" cy="3456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35114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Copyright © 2012. Alexandria Real Estate Equities, Inc. ALL RIGHTS</w:t>
      </w:r>
    </w:p>
    <w:p>
      <w:pPr>
        <w:spacing w:after="0" w:line="19"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RESERVED. Confidential and Proprietary. Do Not Copy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-70485</wp:posOffset>
            </wp:positionV>
            <wp:extent cx="702945" cy="248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02945" cy="24892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Distribute. Alexandria and Alexandria Logo are registered trademarks of</w:t>
      </w:r>
    </w:p>
    <w:p>
      <w:pPr>
        <w:spacing w:after="0" w:line="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Alexandria Real Estate Equities,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46154413-v4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71" w:name="page72"/>
    <w:bookmarkEnd w:id="71"/>
    <w:p>
      <w:pPr>
        <w:spacing w:after="0"/>
        <w:tabs>
          <w:tab w:leader="none" w:pos="10780" w:val="left"/>
        </w:tabs>
        <w:rPr>
          <w:sz w:val="20"/>
          <w:szCs w:val="20"/>
          <w:color w:val="auto"/>
        </w:rPr>
      </w:pPr>
      <w:r>
        <w:rPr>
          <w:rFonts w:ascii="Arial" w:cs="Arial" w:eastAsia="Arial" w:hAnsi="Arial"/>
          <w:sz w:val="16"/>
          <w:szCs w:val="16"/>
          <w:b w:val="1"/>
          <w:bCs w:val="1"/>
          <w:color w:val="auto"/>
        </w:rPr>
        <w:t>First Amendment to Lease Agreement –-RegenXBio Inc.</w:t>
      </w:r>
      <w:r>
        <w:rPr>
          <w:sz w:val="20"/>
          <w:szCs w:val="20"/>
          <w:color w:val="auto"/>
        </w:rPr>
        <w:tab/>
      </w:r>
      <w:r>
        <w:rPr>
          <w:rFonts w:ascii="Arial" w:cs="Arial" w:eastAsia="Arial" w:hAnsi="Arial"/>
          <w:sz w:val="16"/>
          <w:szCs w:val="16"/>
          <w:b w:val="1"/>
          <w:bCs w:val="1"/>
          <w:color w:val="auto"/>
        </w:rPr>
        <w:t xml:space="preserve">Page - </w:t>
      </w:r>
      <w:r>
        <w:rPr>
          <w:rFonts w:ascii="Arial" w:cs="Arial" w:eastAsia="Arial" w:hAnsi="Arial"/>
          <w:sz w:val="16"/>
          <w:szCs w:val="16"/>
          <w:color w:val="auto"/>
        </w:rPr>
        <w:t>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PREMISES—continued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285115</wp:posOffset>
            </wp:positionV>
            <wp:extent cx="5334000" cy="3439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334000" cy="343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Copyright © 2012. Alexandria Real Estate Equities, Inc. ALL RIGHTS</w:t>
      </w:r>
    </w:p>
    <w:p>
      <w:pPr>
        <w:spacing w:after="0" w:line="19"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RESERVED. Confidential and Proprietary. Do Not Copy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-70485</wp:posOffset>
            </wp:positionV>
            <wp:extent cx="702945" cy="2489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02945" cy="24892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Distribute. Alexandria and Alexandria Logo are registered trademarks of</w:t>
      </w:r>
    </w:p>
    <w:p>
      <w:pPr>
        <w:spacing w:after="0" w:line="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Alexandria Real Estate Equities,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46154413-v4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72" w:name="page73"/>
    <w:bookmarkEnd w:id="72"/>
    <w:p>
      <w:pPr>
        <w:spacing w:after="0"/>
        <w:tabs>
          <w:tab w:leader="none" w:pos="10680" w:val="left"/>
        </w:tabs>
        <w:rPr>
          <w:sz w:val="20"/>
          <w:szCs w:val="20"/>
          <w:color w:val="auto"/>
        </w:rPr>
      </w:pPr>
      <w:r>
        <w:rPr>
          <w:rFonts w:ascii="Arial" w:cs="Arial" w:eastAsia="Arial" w:hAnsi="Arial"/>
          <w:sz w:val="16"/>
          <w:szCs w:val="16"/>
          <w:b w:val="1"/>
          <w:bCs w:val="1"/>
          <w:color w:val="auto"/>
        </w:rPr>
        <w:t>First Amendment to Lease Agreement –-RegenXBio Inc.</w:t>
      </w:r>
      <w:r>
        <w:rPr>
          <w:sz w:val="20"/>
          <w:szCs w:val="20"/>
          <w:color w:val="auto"/>
        </w:rPr>
        <w:tab/>
      </w:r>
      <w:r>
        <w:rPr>
          <w:rFonts w:ascii="Arial" w:cs="Arial" w:eastAsia="Arial" w:hAnsi="Arial"/>
          <w:sz w:val="16"/>
          <w:szCs w:val="16"/>
          <w:b w:val="1"/>
          <w:bCs w:val="1"/>
          <w:color w:val="auto"/>
        </w:rPr>
        <w:t xml:space="preserve">Page - </w:t>
      </w:r>
      <w:r>
        <w:rPr>
          <w:rFonts w:ascii="Arial" w:cs="Arial" w:eastAsia="Arial" w:hAnsi="Arial"/>
          <w:sz w:val="16"/>
          <w:szCs w:val="16"/>
          <w:color w:val="auto"/>
        </w:rPr>
        <w:t>10</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PREMISES—continued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285115</wp:posOffset>
            </wp:positionV>
            <wp:extent cx="5334000" cy="3447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334000"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Copyright © 2012. Alexandria Real Estate Equities, Inc. ALL RIGHTS</w:t>
      </w:r>
    </w:p>
    <w:p>
      <w:pPr>
        <w:spacing w:after="0" w:line="19"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RESERVED. Confidential and Proprietary. Do Not Copy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-70485</wp:posOffset>
            </wp:positionV>
            <wp:extent cx="702945" cy="2489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02945" cy="24892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color w:val="auto"/>
        </w:rPr>
        <w:t>Distribute. Alexandria and Alexandria Logo are registered trademarks of</w:t>
      </w:r>
    </w:p>
    <w:p>
      <w:pPr>
        <w:spacing w:after="0" w:line="1"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Alexandria Real Estate Equities,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46154413-v4</w:t>
      </w:r>
    </w:p>
    <w:p>
      <w:pPr>
        <w:sectPr>
          <w:pgSz w:w="11900" w:h="16838" w:orient="portrait"/>
          <w:cols w:equalWidth="0" w:num="1">
            <w:col w:w="11420"/>
          </w:cols>
          <w:pgMar w:left="240" w:top="322"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T. Mills, certify that:</w:t>
      </w:r>
    </w:p>
    <w:p>
      <w:pPr>
        <w:spacing w:after="0" w:line="117"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REGENXBIO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040" w:right="220" w:hanging="519"/>
        <w:spacing w:after="0" w:line="266"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color w:val="auto"/>
        </w:rPr>
        <w:t>/s/ Kenneth T. Mills</w:t>
      </w:r>
    </w:p>
    <w:p>
      <w:pPr>
        <w:spacing w:after="0" w:line="4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-125095</wp:posOffset>
            </wp:positionV>
            <wp:extent cx="39103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333"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Vittal Vasista, certify that:</w:t>
      </w:r>
    </w:p>
    <w:p>
      <w:pPr>
        <w:spacing w:after="0" w:line="117"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REGENXBIO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040" w:right="220" w:hanging="519"/>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color w:val="auto"/>
        </w:rPr>
        <w:t>/s/ Vittal Vasista</w:t>
      </w:r>
    </w:p>
    <w:p>
      <w:pPr>
        <w:spacing w:after="0" w:line="4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Vittal Vasista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-125095</wp:posOffset>
            </wp:positionV>
            <wp:extent cx="39103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420"/>
          </w:cols>
          <w:pgMar w:left="240" w:top="333"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REGENXBIO Inc. (the “Registrant”) on Form 10-Q for the quarter ended March 31, 2019 as filed with the Securities and Exchange Commission on the date hereof (the “Report”), the undersigned, Kenneth T. Mills, President, Chief Executive Officer and Director of the Registrant, and Vittal Vasista, Chief Financial Officer of the Registrant, certify, pursuant to 18 U.S.C. Section 1350, as adopted pursuant to Section 906 of the Sarbanes-Oxley Act of 2002, that to their respective knowledge:</w:t>
      </w:r>
    </w:p>
    <w:p>
      <w:pPr>
        <w:spacing w:after="0" w:line="72" w:lineRule="exact"/>
        <w:rPr>
          <w:sz w:val="20"/>
          <w:szCs w:val="20"/>
          <w:color w:val="auto"/>
        </w:rPr>
      </w:pPr>
    </w:p>
    <w:p>
      <w:pPr>
        <w:ind w:left="1040" w:hanging="519"/>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color w:val="auto"/>
        </w:rPr>
        <w:t>/s/ Kenneth T. Mills</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color w:val="auto"/>
        </w:rPr>
        <w:t>/s/ Vittal Vasista</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Vittal Vasista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5"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is made solely for the purposes of 18 U.S.C. Section 1350, subject to the knowledge standard contained therein, and not for any other purpose. A signed original of this written statement required by Section 906 has been provided to the Registrant and will be retained by the Registrant and furnished to the United States Securities and Exchange Commission or its staff upon request</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right="20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10-Q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10-Q), irrespective of any general incorporation language contained in such filing.</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6"/>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1)"/>
      <w:numFmt w:val="lowerLetter"/>
      <w:start w:val="1"/>
    </w:lvl>
  </w:abstractNum>
  <w:abstractNum w:abstractNumId="8">
    <w:nsid w:val="1E7FF521"/>
    <w:multiLevelType w:val="hybridMultilevel"/>
    <w:lvl w:ilvl="0">
      <w:lvlJc w:val="left"/>
      <w:lvlText w:val="%1."/>
      <w:numFmt w:val="decimal"/>
      <w:start w:val="10"/>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lowerRoman"/>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lvl w:ilvl="1">
      <w:lvlJc w:val="left"/>
      <w:lvlText w:val="(%2)"/>
      <w:numFmt w:val="lowerLetter"/>
      <w:start w:val="1"/>
    </w:lvl>
  </w:abstractNum>
  <w:abstractNum w:abstractNumId="19">
    <w:nsid w:val="5072367"/>
    <w:multiLevelType w:val="hybridMultilevel"/>
    <w:lvl w:ilvl="0">
      <w:lvlJc w:val="left"/>
      <w:lvlText w:val="%1."/>
      <w:numFmt w:val="decimal"/>
      <w:start w:val="2"/>
    </w:lvl>
    <w:lvl w:ilvl="1">
      <w:lvlJc w:val="left"/>
      <w:lvlText w:val="(%2)"/>
      <w:numFmt w:val="lowerLetter"/>
      <w:start w:val="1"/>
    </w:lvl>
  </w:abstractNum>
  <w:abstractNum w:abstractNumId="20">
    <w:nsid w:val="3804823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
    <w:nsid w:val="77465F01"/>
    <w:multiLevelType w:val="hybridMultilevel"/>
    <w:lvl w:ilvl="0">
      <w:lvlJc w:val="left"/>
      <w:lvlText w:val="(%1)"/>
      <w:numFmt w:val="lowerLetter"/>
      <w:start w:val="3"/>
    </w:lvl>
    <w:lvl w:ilvl="1">
      <w:lvlJc w:val="left"/>
      <w:lvlText w:val="(%2)"/>
      <w:numFmt w:val="lowerRoman"/>
      <w:start w:val="1"/>
    </w:lvl>
  </w:abstractNum>
  <w:abstractNum w:abstractNumId="22">
    <w:nsid w:val="7724C67E"/>
    <w:multiLevelType w:val="hybridMultilevel"/>
    <w:lvl w:ilvl="0">
      <w:lvlJc w:val="left"/>
      <w:lvlText w:val="(%1)"/>
      <w:numFmt w:val="lowerRoman"/>
      <w:start w:val="3"/>
    </w:lvl>
    <w:lvl w:ilvl="1">
      <w:lvlJc w:val="left"/>
      <w:lvlText w:val="(%2)"/>
      <w:numFmt w:val="decimal"/>
      <w:start w:val="90"/>
    </w:lvl>
  </w:abstractNum>
  <w:abstractNum w:abstractNumId="23">
    <w:nsid w:val="5C482A97"/>
    <w:multiLevelType w:val="hybridMultilevel"/>
    <w:lvl w:ilvl="0">
      <w:lvlJc w:val="left"/>
      <w:lvlText w:val="(%1)"/>
      <w:numFmt w:val="lowerLetter"/>
      <w:start w:val="4"/>
    </w:lvl>
    <w:lvl w:ilvl="1">
      <w:lvlJc w:val="left"/>
      <w:lvlText w:val="(%2)"/>
      <w:numFmt w:val="lowerRoman"/>
      <w:start w:val="1"/>
    </w:lvl>
  </w:abstractNum>
  <w:abstractNum w:abstractNumId="24">
    <w:nsid w:val="2463B9EA"/>
    <w:multiLevelType w:val="hybridMultilevel"/>
    <w:lvl w:ilvl="0">
      <w:lvlJc w:val="left"/>
      <w:lvlText w:val="%1."/>
      <w:numFmt w:val="decimal"/>
      <w:start w:val="8"/>
    </w:lvl>
    <w:lvl w:ilvl="1">
      <w:lvlJc w:val="left"/>
      <w:lvlText w:val="(%2)"/>
      <w:numFmt w:val="lowerLetter"/>
      <w:start w:val="1"/>
    </w:lvl>
  </w:abstractNum>
  <w:abstractNum w:abstractNumId="25">
    <w:nsid w:val="5E884ADC"/>
    <w:multiLevelType w:val="hybridMultilevel"/>
    <w:lvl w:ilvl="0">
      <w:lvlJc w:val="left"/>
      <w:lvlText w:val="%1."/>
      <w:numFmt w:val="decimal"/>
      <w:start w:val="9"/>
    </w:lvl>
    <w:lvl w:ilvl="1">
      <w:lvlJc w:val="left"/>
      <w:lvlText w:val="(%2)"/>
      <w:numFmt w:val="lowerLetter"/>
      <w:start w:val="1"/>
    </w:lvl>
  </w:abstractNum>
  <w:abstractNum w:abstractNumId="26">
    <w:nsid w:val="51EAD36B"/>
    <w:multiLevelType w:val="hybridMultilevel"/>
    <w:lvl w:ilvl="0">
      <w:lvlJc w:val="left"/>
      <w:lvlText w:val="%1."/>
      <w:numFmt w:val="decimal"/>
      <w:start w:val="1"/>
    </w:lvl>
    <w:lvl w:ilvl="1">
      <w:lvlJc w:val="left"/>
      <w:lvlText w:val="(%2)"/>
      <w:numFmt w:val="lowerRoman"/>
      <w:start w:val="1"/>
    </w:lvl>
  </w:abstractNum>
  <w:abstractNum w:abstractNumId="27">
    <w:nsid w:val="2D517796"/>
    <w:multiLevelType w:val="hybridMultilevel"/>
    <w:lvl w:ilvl="0">
      <w:lvlJc w:val="left"/>
      <w:lvlText w:val="(%1)"/>
      <w:numFmt w:val="lowerRoman"/>
      <w:start w:val="2"/>
    </w:lvl>
  </w:abstractNum>
  <w:abstractNum w:abstractNumId="28">
    <w:nsid w:val="580BD78F"/>
    <w:multiLevelType w:val="hybridMultilevel"/>
    <w:lvl w:ilvl="0">
      <w:lvlJc w:val="left"/>
      <w:lvlText w:val="%1."/>
      <w:numFmt w:val="decimal"/>
      <w:start w:val="2"/>
    </w:lvl>
  </w:abstractNum>
  <w:abstractNum w:abstractNumId="29">
    <w:nsid w:val="153EA438"/>
    <w:multiLevelType w:val="hybridMultilevel"/>
    <w:lvl w:ilvl="0">
      <w:lvlJc w:val="left"/>
      <w:lvlText w:val="(%1)"/>
      <w:numFmt w:val="lowerRoman"/>
      <w:start w:val="1"/>
    </w:lvl>
  </w:abstractNum>
  <w:abstractNum w:abstractNumId="30">
    <w:nsid w:val="3855585C"/>
    <w:multiLevelType w:val="hybridMultilevel"/>
    <w:lvl w:ilvl="0">
      <w:lvlJc w:val="left"/>
      <w:lvlText w:val="%1."/>
      <w:numFmt w:val="decimal"/>
      <w:start w:val="3"/>
    </w:lvl>
  </w:abstractNum>
  <w:abstractNum w:abstractNumId="31">
    <w:nsid w:val="70A64E2A"/>
    <w:multiLevelType w:val="hybridMultilevel"/>
    <w:lvl w:ilvl="0">
      <w:lvlJc w:val="left"/>
      <w:lvlText w:val="%1."/>
      <w:numFmt w:val="decimal"/>
      <w:start w:val="4"/>
    </w:lvl>
  </w:abstractNum>
  <w:abstractNum w:abstractNumId="32">
    <w:nsid w:val="6A2342EC"/>
    <w:multiLevelType w:val="hybridMultilevel"/>
    <w:lvl w:ilvl="0">
      <w:lvlJc w:val="left"/>
      <w:lvlText w:val="%1."/>
      <w:numFmt w:val="decimal"/>
      <w:start w:val="7"/>
    </w:lvl>
  </w:abstractNum>
  <w:abstractNum w:abstractNumId="33">
    <w:nsid w:val="2A487CB0"/>
    <w:multiLevelType w:val="hybridMultilevel"/>
    <w:lvl w:ilvl="0">
      <w:lvlJc w:val="left"/>
      <w:lvlText w:val="%1."/>
      <w:numFmt w:val="decimal"/>
      <w:start w:val="8"/>
    </w:lvl>
    <w:lvl w:ilvl="1">
      <w:lvlJc w:val="left"/>
      <w:lvlText w:val="%2."/>
      <w:numFmt w:val="lowerLetter"/>
      <w:start w:val="1"/>
    </w:lvl>
  </w:abstractNum>
  <w:abstractNum w:abstractNumId="34">
    <w:nsid w:val="1D4ED43B"/>
    <w:multiLevelType w:val="hybridMultilevel"/>
    <w:lvl w:ilvl="0">
      <w:lvlJc w:val="left"/>
      <w:lvlText w:val="%1."/>
      <w:numFmt w:val="decimal"/>
      <w:start w:val="9"/>
    </w:lvl>
  </w:abstractNum>
  <w:abstractNum w:abstractNumId="35">
    <w:nsid w:val="725A06FB"/>
    <w:multiLevelType w:val="hybridMultilevel"/>
    <w:lvl w:ilvl="0">
      <w:lvlJc w:val="left"/>
      <w:lvlText w:val="%1."/>
      <w:numFmt w:val="decimal"/>
      <w:start w:val="12"/>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2"/>
    </w:lvl>
    <w:lvl w:ilvl="1">
      <w:lvlJc w:val="left"/>
      <w:lvlText w:val="%2"/>
      <w:numFmt w:val="lowerLetter"/>
      <w:start w:val="1"/>
    </w:lvl>
  </w:abstractNum>
  <w:abstractNum w:abstractNumId="39">
    <w:nsid w:val="4B588F5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40">
    <w:nsid w:val="542289EC"/>
    <w:multiLevelType w:val="hybridMultilevel"/>
    <w:lvl w:ilvl="0">
      <w:lvlJc w:val="left"/>
      <w:lvlText w:val="(%1)"/>
      <w:numFmt w:val="lowerRoman"/>
      <w:start w:val="2"/>
    </w:lvl>
    <w:lvl w:ilvl="1">
      <w:lvlJc w:val="left"/>
      <w:lvlText w:val="%2."/>
      <w:numFmt w:val="decimal"/>
      <w:start w:val="4"/>
    </w:lvl>
    <w:lvl w:ilvl="2">
      <w:lvlJc w:val="left"/>
      <w:lvlText w:val="%3"/>
      <w:numFmt w:val="lowerLetter"/>
      <w:start w:val="1"/>
    </w:lvl>
  </w:abstractNum>
  <w:abstractNum w:abstractNumId="41">
    <w:nsid w:val="6DE91B18"/>
    <w:multiLevelType w:val="hybridMultilevel"/>
    <w:lvl w:ilvl="0">
      <w:lvlJc w:val="left"/>
      <w:lvlText w:val="%1."/>
      <w:numFmt w:val="decimal"/>
      <w:start w:val="6"/>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upperLetter"/>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3"/>
    </w:lvl>
    <w:lvl w:ilvl="1">
      <w:lvlJc w:val="left"/>
      <w:lvlText w:val="(%2)"/>
      <w:numFmt w:val="lowerLetter"/>
      <w:start w:val="2"/>
    </w:lvl>
  </w:abstractNum>
  <w:abstractNum w:abstractNumId="47">
    <w:nsid w:val="749ABB43"/>
    <w:multiLevelType w:val="hybridMultilevel"/>
    <w:lvl w:ilvl="0">
      <w:lvlJc w:val="left"/>
      <w:lvlText w:val="%1."/>
      <w:numFmt w:val="decimal"/>
      <w:start w:val="4"/>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jpe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jpeg"/><Relationship Id="rId93" Type="http://schemas.openxmlformats.org/officeDocument/2006/relationships/image" Target="media/image84.png"/><Relationship Id="rId94" Type="http://schemas.openxmlformats.org/officeDocument/2006/relationships/image" Target="media/image85.jpeg"/><Relationship Id="rId95" Type="http://schemas.openxmlformats.org/officeDocument/2006/relationships/image" Target="media/image86.png"/><Relationship Id="rId96" Type="http://schemas.openxmlformats.org/officeDocument/2006/relationships/image" Target="media/image87.jpeg"/><Relationship Id="rId97" Type="http://schemas.openxmlformats.org/officeDocument/2006/relationships/image" Target="media/image88.png"/><Relationship Id="rId98" Type="http://schemas.openxmlformats.org/officeDocument/2006/relationships/image" Target="media/image89.jpeg"/><Relationship Id="rId99" Type="http://schemas.openxmlformats.org/officeDocument/2006/relationships/image" Target="media/image90.png"/><Relationship Id="rId100" Type="http://schemas.openxmlformats.org/officeDocument/2006/relationships/image" Target="media/image91.jpeg"/><Relationship Id="rId101" Type="http://schemas.openxmlformats.org/officeDocument/2006/relationships/image" Target="media/image92.png"/><Relationship Id="rId102" Type="http://schemas.openxmlformats.org/officeDocument/2006/relationships/image" Target="media/image93.jpeg"/><Relationship Id="rId103" Type="http://schemas.openxmlformats.org/officeDocument/2006/relationships/image" Target="media/image94.jpeg"/><Relationship Id="rId104" Type="http://schemas.openxmlformats.org/officeDocument/2006/relationships/image" Target="media/image95.png"/><Relationship Id="rId105" Type="http://schemas.openxmlformats.org/officeDocument/2006/relationships/image" Target="media/image96.jpeg"/><Relationship Id="rId106" Type="http://schemas.openxmlformats.org/officeDocument/2006/relationships/image" Target="media/image97.jpeg"/><Relationship Id="rId107" Type="http://schemas.openxmlformats.org/officeDocument/2006/relationships/image" Target="media/image98.png"/><Relationship Id="rId108" Type="http://schemas.openxmlformats.org/officeDocument/2006/relationships/image" Target="media/image99.jpeg"/><Relationship Id="rId109" Type="http://schemas.openxmlformats.org/officeDocument/2006/relationships/image" Target="media/image100.jpeg"/><Relationship Id="rId110" Type="http://schemas.openxmlformats.org/officeDocument/2006/relationships/image" Target="media/image101.png"/><Relationship Id="rId111" Type="http://schemas.openxmlformats.org/officeDocument/2006/relationships/image" Target="media/image102.jpeg"/><Relationship Id="rId112" Type="http://schemas.openxmlformats.org/officeDocument/2006/relationships/image" Target="media/image103.jpe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58" Type="http://schemas.openxmlformats.org/officeDocument/2006/relationships/hyperlink" Target="http://www.sec.gov/Archives/edgar/data/0001590877/000119312515325596/d56083dex31.htm" TargetMode="External"/><Relationship Id="rId59" Type="http://schemas.openxmlformats.org/officeDocument/2006/relationships/hyperlink" Target="http://www.sec.gov/Archives/edgar/data/0001590877/000119312515325596/d5608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2019-12-28T12:41:33Z</dcterms:created>
  <dcterms:modified xsi:type="dcterms:W3CDTF">2019-12-28T12:41:33Z</dcterms:modified>
</cp:coreProperties>
</file>