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August 18, 2025, REGENXBIO Inc. (the “Company”) issued a press release announcing that the U.S. Food and Drug Administration (“FDA”) has extended the Prescription Drug User Fee Act (“PDUFA”) date for the Company’s Biologics License Application seeking accelerated approval of clemidsogene lanparvovec (RGX-121) for the treatment of Mucopolysaccharidosis II (MPS II), also known as Hunter syndrome. The FDA extended the PDUFA action date from November 9, 2025 to February 8, 2026 to allow for the review of additional data.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copy of the press release is filed herewith as Exhibit 99.1 to this Current Report on Form 8-K and incorporated herein by reference.</w:t>
      </w:r>
    </w:p>
    <w:p>
      <w:pPr>
        <w:spacing w:after="0" w:line="3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August 18, 2025.</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August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REGENXBIO Announces FDA Review Extension of BLA for RGX-121 to Treat Patients with MPS II</w:t>
      </w:r>
    </w:p>
    <w:p>
      <w:pPr>
        <w:spacing w:after="0" w:line="204" w:lineRule="exact"/>
        <w:rPr>
          <w:sz w:val="20"/>
          <w:szCs w:val="20"/>
          <w:color w:val="auto"/>
        </w:rPr>
      </w:pPr>
    </w:p>
    <w:p>
      <w:pPr>
        <w:ind w:left="760" w:right="6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RGX-121 would be the first and only potential one-time commercially-available therapy designed to directly address the underlying genetic cause of Hunter syndrome, if approved</w:t>
      </w:r>
    </w:p>
    <w:p>
      <w:pPr>
        <w:ind w:left="760" w:hanging="378"/>
        <w:spacing w:after="0" w:line="238"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Commercial launch plans remain on track</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REGENXBIO plans to present updated pivotal data during the ICIEM meeting in September 2025</w:t>
      </w:r>
    </w:p>
    <w:p>
      <w:pPr>
        <w:spacing w:after="0" w:line="197"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ROCKVILLE, Md., August 18, 2025 (PR Newswire) -- REGENXBIO Inc. (Nasdaq: RGNX) today announced that the U.S. Food and Drug Administration (FDA) extended its review timeline of the Biologics License Application (BLA) for clemidsogene lanparvovec (RGX-121) for the treatment of Mucopolysaccharidosis II (MPS II), also known as Hunter syndrome. The Prescription Drug User Fee Act (PDUFA) goal date has been extended from November 9, 2025 to February 8, 2026.</w:t>
      </w:r>
    </w:p>
    <w:p>
      <w:pPr>
        <w:spacing w:after="0" w:line="162"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color w:val="auto"/>
        </w:rPr>
        <w:t>The extension follows the Company's submission of longer-term clinical data for all patients in the pivotal study of RGX-121 (n=13) in response to an FDA information request. These positive 12-month clinical data are consistent with biomarker and neurodevelopmental data previously submitted on the same patients in the BLA and will be presented during the International Congress of Inborn Errors of Metabolism (ICIEM) in September 2025.</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In August 2025, the FDA completed a pre-license inspection and bioresearch monitoring information inspection for the RGX-121 BLA with no observations. No safety-related concerns have been raised by the FDA during the BLA review.</w:t>
      </w:r>
    </w:p>
    <w:p>
      <w:pPr>
        <w:spacing w:after="0" w:line="155"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“Boys with this rare, devastating disease have no treatment options to address neurodevelopmental decline, and the Hunter syndrome community is in urgent need for a therapeutic option with the potential to improve these patients’ lives,” said Curran M. Simpson, President and Chief Executive Officer of REGENXBIO. “We promptly provided the FDA with the information requested and expect the commercial launch plans remain on track.”</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RGX-121 has received Orphan Drug Product, Rare Pediatric Disease, Fast Track and Regenerative Medicine Advanced Therapy (RMAT) designations from the FDA and advanced therapy medicinal products (ATMP) classification from the European Medicines Agency.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RGX-121 (clemidsogene lanparvovec)</w:t>
      </w:r>
    </w:p>
    <w:p>
      <w:pPr>
        <w:spacing w:after="0" w:line="6"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color w:val="auto"/>
        </w:rPr>
        <w:t>RGX-121 is a potential one-time AAV therapeutic for the treatment of boys with MPS II, designed to deliver the iduronate-2-sulfatase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to the central nervous system (CNS). Delivery of the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within cells in the CNS could provide a permanent source of secreted iduronate-2-sulfatase (I2S) protein beyond the blood-brain barrier, allowing for long-term cross correction of cells throughout the CNS. RGX-121 expressed protein is structurally identical to normal I2S.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Mucopolysaccharidosis Type II (MPS II)</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MPS II, or Hunter Syndrome, is a rare, X-linked recessive disease caused by a deficiency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180"/>
        <w:spacing w:after="0" w:line="233" w:lineRule="auto"/>
        <w:rPr>
          <w:sz w:val="20"/>
          <w:szCs w:val="20"/>
          <w:color w:val="auto"/>
        </w:rPr>
      </w:pPr>
      <w:r>
        <w:rPr>
          <w:rFonts w:ascii="Arial" w:cs="Arial" w:eastAsia="Arial" w:hAnsi="Arial"/>
          <w:sz w:val="20"/>
          <w:szCs w:val="20"/>
          <w:color w:val="auto"/>
        </w:rPr>
        <w:t>lysosomal enzyme I2S leading to an accumulation of glycosaminoglycans (GAGs), including heparan sulfate (HS) in tissues which ultimately results in cell, tissue, and organ dysfunction, including in the CNS. In severe forms of the disease, early developmental milestones may be met, but developmental delay is readily apparent by 18 to 24 months. Specific treatment to address the neurological manifestations of MPS II remains a significant unmet medical need. Key biomarkers of I2S enzymatic activity in MPS II patients include its substrate heparan sulfate (HS) D2S6, which has been shown to correlate with neurocognitive manifestations of the disorder.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 both in partnership with Nippon Shinyaku; and surabgene lomparvovec (ABBV-RGX-314) for the treatment of wet AMD and diabetic retinopathy, in collaboration with AbbVie. Thousands of patients have been treated with REGENXBIO's AAV platform, including those receiving Novartis' ZOLGENSMA</w:t>
      </w:r>
      <w:r>
        <w:rPr>
          <w:rFonts w:ascii="Arial" w:cs="Arial" w:eastAsia="Arial" w:hAnsi="Arial"/>
          <w:sz w:val="26"/>
          <w:szCs w:val="26"/>
          <w:color w:val="auto"/>
          <w:vertAlign w:val="superscript"/>
        </w:rPr>
        <w:t>®</w:t>
      </w:r>
      <w:r>
        <w:rPr>
          <w:rFonts w:ascii="Arial" w:cs="Arial" w:eastAsia="Arial" w:hAnsi="Arial"/>
          <w:sz w:val="20"/>
          <w:szCs w:val="20"/>
          <w:color w:val="auto"/>
        </w:rPr>
        <w:t>. REGENXBIO's investigational gene therapies have the potential to change the way healthcare is delivered for millions of people. For more information, please visit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www.REGENXBIO.com</w:t>
      </w:r>
      <w:r>
        <w:rPr>
          <w:rFonts w:ascii="Arial" w:cs="Arial" w:eastAsia="Arial" w:hAnsi="Arial"/>
          <w:sz w:val="20"/>
          <w:szCs w:val="20"/>
          <w:color w:val="000000"/>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230" w:lineRule="auto"/>
        <w:rPr>
          <w:sz w:val="20"/>
          <w:szCs w:val="20"/>
          <w:color w:val="auto"/>
        </w:rPr>
      </w:pPr>
      <w:r>
        <w:rPr>
          <w:rFonts w:ascii="Arial" w:cs="Arial" w:eastAsia="Arial" w:hAnsi="Arial"/>
          <w:sz w:val="20"/>
          <w:szCs w:val="20"/>
          <w:color w:val="auto"/>
        </w:rPr>
        <w:t xml:space="preserve">on the SEC's website at </w:t>
      </w:r>
      <w:r>
        <w:rPr>
          <w:rFonts w:ascii="Arial" w:cs="Arial" w:eastAsia="Arial" w:hAnsi="Arial"/>
          <w:sz w:val="20"/>
          <w:szCs w:val="20"/>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188" w:lineRule="exact"/>
        <w:rPr>
          <w:sz w:val="20"/>
          <w:szCs w:val="20"/>
          <w:color w:val="auto"/>
        </w:rPr>
      </w:pPr>
    </w:p>
    <w:p>
      <w:pPr>
        <w:ind w:right="560"/>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Gene Therapies. All other trademarks referenced herein are registered trademarks of REGENXBIO.</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2025-08-18T16:12:21Z</dcterms:created>
  <dcterms:modified xsi:type="dcterms:W3CDTF">2025-08-18T16:12:21Z</dcterms:modified>
</cp:coreProperties>
</file>