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As filed with the Securities and Exchange Commission on December 16, 2016.</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REGISTRATION STATEMENT</w:t>
      </w:r>
    </w:p>
    <w:p>
      <w:pPr>
        <w:jc w:val="center"/>
        <w:ind w:right="-5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39"/>
        <w:spacing w:after="0"/>
        <w:rPr>
          <w:sz w:val="20"/>
          <w:szCs w:val="20"/>
          <w:color w:val="auto"/>
        </w:rPr>
      </w:pPr>
      <w:r>
        <w:rPr>
          <w:rFonts w:ascii="Arial" w:cs="Arial" w:eastAsia="Arial" w:hAnsi="Arial"/>
          <w:sz w:val="43"/>
          <w:szCs w:val="43"/>
          <w:b w:val="1"/>
          <w:bCs w:val="1"/>
          <w:color w:val="auto"/>
        </w:rPr>
        <w:t>REGENXBIO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920" w:type="dxa"/>
            <w:vAlign w:val="bottom"/>
          </w:tcPr>
          <w:p>
            <w:pPr>
              <w:jc w:val="center"/>
              <w:ind w:right="1982"/>
              <w:spacing w:after="0"/>
              <w:rPr>
                <w:sz w:val="20"/>
                <w:szCs w:val="20"/>
                <w:color w:val="auto"/>
              </w:rPr>
            </w:pPr>
            <w:r>
              <w:rPr>
                <w:rFonts w:ascii="Arial" w:cs="Arial" w:eastAsia="Arial" w:hAnsi="Arial"/>
                <w:sz w:val="18"/>
                <w:szCs w:val="18"/>
                <w:b w:val="1"/>
                <w:bCs w:val="1"/>
                <w:color w:val="auto"/>
                <w:w w:val="93"/>
              </w:rPr>
              <w:t>Delaware</w:t>
            </w:r>
          </w:p>
        </w:tc>
        <w:tc>
          <w:tcPr>
            <w:tcW w:w="3480" w:type="dxa"/>
            <w:vAlign w:val="bottom"/>
          </w:tcPr>
          <w:p>
            <w:pPr>
              <w:jc w:val="center"/>
              <w:ind w:left="1982"/>
              <w:spacing w:after="0"/>
              <w:rPr>
                <w:sz w:val="20"/>
                <w:szCs w:val="20"/>
                <w:color w:val="auto"/>
              </w:rPr>
            </w:pPr>
            <w:r>
              <w:rPr>
                <w:rFonts w:ascii="Arial" w:cs="Arial" w:eastAsia="Arial" w:hAnsi="Arial"/>
                <w:sz w:val="18"/>
                <w:szCs w:val="18"/>
                <w:b w:val="1"/>
                <w:bCs w:val="1"/>
                <w:color w:val="auto"/>
                <w:w w:val="89"/>
              </w:rPr>
              <w:t>47-1851754</w:t>
            </w:r>
          </w:p>
        </w:tc>
      </w:tr>
      <w:tr>
        <w:trPr>
          <w:trHeight w:val="149"/>
        </w:trPr>
        <w:tc>
          <w:tcPr>
            <w:tcW w:w="3920" w:type="dxa"/>
            <w:vAlign w:val="bottom"/>
          </w:tcPr>
          <w:p>
            <w:pPr>
              <w:jc w:val="center"/>
              <w:ind w:right="19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80" w:type="dxa"/>
            <w:vAlign w:val="bottom"/>
          </w:tcPr>
          <w:p>
            <w:pPr>
              <w:jc w:val="center"/>
              <w:ind w:left="2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480" w:type="dxa"/>
            <w:vAlign w:val="bottom"/>
          </w:tcPr>
          <w:p>
            <w:pPr>
              <w:jc w:val="center"/>
              <w:ind w:left="19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9600 Blackwell Road, Suite 210</w:t>
      </w:r>
    </w:p>
    <w:p>
      <w:pPr>
        <w:spacing w:after="0" w:line="2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Rockville, MD 20850</w:t>
      </w:r>
    </w:p>
    <w:p>
      <w:pPr>
        <w:spacing w:after="0" w:line="2" w:lineRule="exact"/>
        <w:rPr>
          <w:sz w:val="24"/>
          <w:szCs w:val="24"/>
          <w:color w:val="auto"/>
        </w:rPr>
      </w:pPr>
    </w:p>
    <w:p>
      <w:pPr>
        <w:ind w:left="218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Kenneth T. Mills</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9600 Blackwell Road, Suite 210</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Rockville, MD 20850</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(240) 552-8181</w:t>
      </w:r>
    </w:p>
    <w:p>
      <w:pPr>
        <w:spacing w:after="0" w:line="2" w:lineRule="exact"/>
        <w:rPr>
          <w:sz w:val="24"/>
          <w:szCs w:val="24"/>
          <w:color w:val="auto"/>
        </w:rPr>
      </w:pPr>
    </w:p>
    <w:p>
      <w:pPr>
        <w:ind w:left="264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tbl>
      <w:tblPr>
        <w:tblLayout w:type="fixed"/>
        <w:tblInd w:w="130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5320" w:type="dxa"/>
            <w:vAlign w:val="bottom"/>
          </w:tcPr>
          <w:p>
            <w:pPr>
              <w:ind w:left="520"/>
              <w:spacing w:after="0"/>
              <w:rPr>
                <w:sz w:val="20"/>
                <w:szCs w:val="20"/>
                <w:color w:val="auto"/>
              </w:rPr>
            </w:pPr>
            <w:r>
              <w:rPr>
                <w:rFonts w:ascii="Arial" w:cs="Arial" w:eastAsia="Arial" w:hAnsi="Arial"/>
                <w:sz w:val="18"/>
                <w:szCs w:val="18"/>
                <w:b w:val="1"/>
                <w:bCs w:val="1"/>
                <w:i w:val="1"/>
                <w:iCs w:val="1"/>
                <w:color w:val="auto"/>
              </w:rPr>
              <w:t>Copies to:</w:t>
            </w:r>
          </w:p>
        </w:tc>
      </w:tr>
      <w:tr>
        <w:trPr>
          <w:trHeight w:val="441"/>
        </w:trPr>
        <w:tc>
          <w:tcPr>
            <w:tcW w:w="3520" w:type="dxa"/>
            <w:vAlign w:val="bottom"/>
          </w:tcPr>
          <w:p>
            <w:pPr>
              <w:jc w:val="center"/>
              <w:ind w:right="430"/>
              <w:spacing w:after="0"/>
              <w:rPr>
                <w:sz w:val="20"/>
                <w:szCs w:val="20"/>
                <w:color w:val="auto"/>
              </w:rPr>
            </w:pPr>
            <w:r>
              <w:rPr>
                <w:rFonts w:ascii="Arial" w:cs="Arial" w:eastAsia="Arial" w:hAnsi="Arial"/>
                <w:sz w:val="18"/>
                <w:szCs w:val="18"/>
                <w:b w:val="1"/>
                <w:bCs w:val="1"/>
                <w:color w:val="auto"/>
                <w:w w:val="91"/>
              </w:rPr>
              <w:t>Jay K. Hachigian, Esq.</w:t>
            </w:r>
          </w:p>
        </w:tc>
        <w:tc>
          <w:tcPr>
            <w:tcW w:w="5320" w:type="dxa"/>
            <w:vAlign w:val="bottom"/>
          </w:tcPr>
          <w:p>
            <w:pPr>
              <w:jc w:val="center"/>
              <w:ind w:left="2190"/>
              <w:spacing w:after="0"/>
              <w:rPr>
                <w:sz w:val="20"/>
                <w:szCs w:val="20"/>
                <w:color w:val="auto"/>
              </w:rPr>
            </w:pPr>
            <w:r>
              <w:rPr>
                <w:rFonts w:ascii="Arial" w:cs="Arial" w:eastAsia="Arial" w:hAnsi="Arial"/>
                <w:sz w:val="18"/>
                <w:szCs w:val="18"/>
                <w:b w:val="1"/>
                <w:bCs w:val="1"/>
                <w:color w:val="auto"/>
                <w:w w:val="92"/>
              </w:rPr>
              <w:t>Patrick J. Christmas</w:t>
            </w:r>
          </w:p>
        </w:tc>
      </w:tr>
      <w:tr>
        <w:trPr>
          <w:trHeight w:val="216"/>
        </w:trPr>
        <w:tc>
          <w:tcPr>
            <w:tcW w:w="352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Keith J. Scherer, Esq.</w:t>
            </w:r>
          </w:p>
        </w:tc>
        <w:tc>
          <w:tcPr>
            <w:tcW w:w="5320" w:type="dxa"/>
            <w:vAlign w:val="bottom"/>
          </w:tcPr>
          <w:p>
            <w:pPr>
              <w:jc w:val="center"/>
              <w:ind w:left="2210"/>
              <w:spacing w:after="0"/>
              <w:rPr>
                <w:sz w:val="20"/>
                <w:szCs w:val="20"/>
                <w:color w:val="auto"/>
              </w:rPr>
            </w:pPr>
            <w:r>
              <w:rPr>
                <w:rFonts w:ascii="Arial" w:cs="Arial" w:eastAsia="Arial" w:hAnsi="Arial"/>
                <w:sz w:val="18"/>
                <w:szCs w:val="18"/>
                <w:b w:val="1"/>
                <w:bCs w:val="1"/>
                <w:color w:val="auto"/>
                <w:w w:val="89"/>
              </w:rPr>
              <w:t>Senior Vice President, General Counsel</w:t>
            </w:r>
          </w:p>
        </w:tc>
      </w:tr>
      <w:tr>
        <w:trPr>
          <w:trHeight w:val="216"/>
        </w:trPr>
        <w:tc>
          <w:tcPr>
            <w:tcW w:w="3520" w:type="dxa"/>
            <w:vAlign w:val="bottom"/>
          </w:tcPr>
          <w:p>
            <w:pPr>
              <w:jc w:val="center"/>
              <w:ind w:right="430"/>
              <w:spacing w:after="0"/>
              <w:rPr>
                <w:sz w:val="20"/>
                <w:szCs w:val="20"/>
                <w:color w:val="auto"/>
              </w:rPr>
            </w:pPr>
            <w:r>
              <w:rPr>
                <w:rFonts w:ascii="Arial" w:cs="Arial" w:eastAsia="Arial" w:hAnsi="Arial"/>
                <w:sz w:val="18"/>
                <w:szCs w:val="18"/>
                <w:b w:val="1"/>
                <w:bCs w:val="1"/>
                <w:color w:val="auto"/>
                <w:w w:val="92"/>
              </w:rPr>
              <w:t>Albert W. Vanderlaan, Esq.</w:t>
            </w:r>
          </w:p>
        </w:tc>
        <w:tc>
          <w:tcPr>
            <w:tcW w:w="5320" w:type="dxa"/>
            <w:vAlign w:val="bottom"/>
          </w:tcPr>
          <w:p>
            <w:pPr>
              <w:jc w:val="center"/>
              <w:ind w:left="2190"/>
              <w:spacing w:after="0"/>
              <w:rPr>
                <w:sz w:val="20"/>
                <w:szCs w:val="20"/>
                <w:color w:val="auto"/>
              </w:rPr>
            </w:pPr>
            <w:r>
              <w:rPr>
                <w:rFonts w:ascii="Arial" w:cs="Arial" w:eastAsia="Arial" w:hAnsi="Arial"/>
                <w:sz w:val="18"/>
                <w:szCs w:val="18"/>
                <w:b w:val="1"/>
                <w:bCs w:val="1"/>
                <w:color w:val="auto"/>
                <w:w w:val="90"/>
              </w:rPr>
              <w:t>9600 Blackwell Road, Suite 210</w:t>
            </w:r>
          </w:p>
        </w:tc>
      </w:tr>
      <w:tr>
        <w:trPr>
          <w:trHeight w:val="216"/>
        </w:trPr>
        <w:tc>
          <w:tcPr>
            <w:tcW w:w="352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Gunderson Dettmer Stough</w:t>
            </w:r>
          </w:p>
        </w:tc>
        <w:tc>
          <w:tcPr>
            <w:tcW w:w="5320" w:type="dxa"/>
            <w:vAlign w:val="bottom"/>
          </w:tcPr>
          <w:p>
            <w:pPr>
              <w:jc w:val="center"/>
              <w:ind w:left="2190"/>
              <w:spacing w:after="0"/>
              <w:rPr>
                <w:sz w:val="20"/>
                <w:szCs w:val="20"/>
                <w:color w:val="auto"/>
              </w:rPr>
            </w:pPr>
            <w:r>
              <w:rPr>
                <w:rFonts w:ascii="Arial" w:cs="Arial" w:eastAsia="Arial" w:hAnsi="Arial"/>
                <w:sz w:val="18"/>
                <w:szCs w:val="18"/>
                <w:b w:val="1"/>
                <w:bCs w:val="1"/>
                <w:color w:val="auto"/>
                <w:w w:val="92"/>
              </w:rPr>
              <w:t>Rockville, MD 20850</w:t>
            </w:r>
          </w:p>
        </w:tc>
      </w:tr>
      <w:tr>
        <w:trPr>
          <w:trHeight w:val="216"/>
        </w:trPr>
        <w:tc>
          <w:tcPr>
            <w:tcW w:w="3520" w:type="dxa"/>
            <w:vAlign w:val="bottom"/>
          </w:tcPr>
          <w:p>
            <w:pPr>
              <w:jc w:val="center"/>
              <w:ind w:right="430"/>
              <w:spacing w:after="0"/>
              <w:rPr>
                <w:sz w:val="20"/>
                <w:szCs w:val="20"/>
                <w:color w:val="auto"/>
              </w:rPr>
            </w:pPr>
            <w:r>
              <w:rPr>
                <w:rFonts w:ascii="Arial" w:cs="Arial" w:eastAsia="Arial" w:hAnsi="Arial"/>
                <w:sz w:val="18"/>
                <w:szCs w:val="18"/>
                <w:b w:val="1"/>
                <w:bCs w:val="1"/>
                <w:color w:val="auto"/>
                <w:w w:val="94"/>
              </w:rPr>
              <w:t>Villeneuve Franklin &amp; Hachigian, LLP</w:t>
            </w:r>
          </w:p>
        </w:tc>
        <w:tc>
          <w:tcPr>
            <w:tcW w:w="5320" w:type="dxa"/>
            <w:vAlign w:val="bottom"/>
          </w:tcPr>
          <w:p>
            <w:pPr>
              <w:jc w:val="center"/>
              <w:ind w:left="2190"/>
              <w:spacing w:after="0"/>
              <w:rPr>
                <w:sz w:val="20"/>
                <w:szCs w:val="20"/>
                <w:color w:val="auto"/>
              </w:rPr>
            </w:pPr>
            <w:r>
              <w:rPr>
                <w:rFonts w:ascii="Arial" w:cs="Arial" w:eastAsia="Arial" w:hAnsi="Arial"/>
                <w:sz w:val="18"/>
                <w:szCs w:val="18"/>
                <w:b w:val="1"/>
                <w:bCs w:val="1"/>
                <w:color w:val="auto"/>
                <w:w w:val="90"/>
              </w:rPr>
              <w:t>(240) 552-8181</w:t>
            </w:r>
          </w:p>
        </w:tc>
      </w:tr>
      <w:tr>
        <w:trPr>
          <w:trHeight w:val="216"/>
        </w:trPr>
        <w:tc>
          <w:tcPr>
            <w:tcW w:w="3520" w:type="dxa"/>
            <w:vAlign w:val="bottom"/>
          </w:tcPr>
          <w:p>
            <w:pPr>
              <w:jc w:val="center"/>
              <w:ind w:right="430"/>
              <w:spacing w:after="0"/>
              <w:rPr>
                <w:sz w:val="20"/>
                <w:szCs w:val="20"/>
                <w:color w:val="auto"/>
              </w:rPr>
            </w:pPr>
            <w:r>
              <w:rPr>
                <w:rFonts w:ascii="Arial" w:cs="Arial" w:eastAsia="Arial" w:hAnsi="Arial"/>
                <w:sz w:val="18"/>
                <w:szCs w:val="18"/>
                <w:b w:val="1"/>
                <w:bCs w:val="1"/>
                <w:color w:val="auto"/>
                <w:w w:val="93"/>
              </w:rPr>
              <w:t>One Marina Park Drive, Suite 900</w:t>
            </w:r>
          </w:p>
        </w:tc>
        <w:tc>
          <w:tcPr>
            <w:tcW w:w="5320" w:type="dxa"/>
            <w:vAlign w:val="bottom"/>
          </w:tcPr>
          <w:p>
            <w:pPr>
              <w:spacing w:after="0"/>
              <w:rPr>
                <w:sz w:val="18"/>
                <w:szCs w:val="18"/>
                <w:color w:val="auto"/>
              </w:rPr>
            </w:pPr>
          </w:p>
        </w:tc>
      </w:tr>
      <w:tr>
        <w:trPr>
          <w:trHeight w:val="216"/>
        </w:trPr>
        <w:tc>
          <w:tcPr>
            <w:tcW w:w="3520" w:type="dxa"/>
            <w:vAlign w:val="bottom"/>
          </w:tcPr>
          <w:p>
            <w:pPr>
              <w:jc w:val="center"/>
              <w:ind w:right="410"/>
              <w:spacing w:after="0"/>
              <w:rPr>
                <w:sz w:val="20"/>
                <w:szCs w:val="20"/>
                <w:color w:val="auto"/>
              </w:rPr>
            </w:pPr>
            <w:r>
              <w:rPr>
                <w:rFonts w:ascii="Arial" w:cs="Arial" w:eastAsia="Arial" w:hAnsi="Arial"/>
                <w:sz w:val="18"/>
                <w:szCs w:val="18"/>
                <w:b w:val="1"/>
                <w:bCs w:val="1"/>
                <w:color w:val="auto"/>
                <w:w w:val="91"/>
              </w:rPr>
              <w:t>Boston, MA 02210</w:t>
            </w:r>
          </w:p>
        </w:tc>
        <w:tc>
          <w:tcPr>
            <w:tcW w:w="5320" w:type="dxa"/>
            <w:vAlign w:val="bottom"/>
          </w:tcPr>
          <w:p>
            <w:pPr>
              <w:spacing w:after="0"/>
              <w:rPr>
                <w:sz w:val="18"/>
                <w:szCs w:val="18"/>
                <w:color w:val="auto"/>
              </w:rPr>
            </w:pPr>
          </w:p>
        </w:tc>
      </w:tr>
      <w:tr>
        <w:trPr>
          <w:trHeight w:val="234"/>
        </w:trPr>
        <w:tc>
          <w:tcPr>
            <w:tcW w:w="352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(617) 648-9100</w:t>
            </w:r>
          </w:p>
        </w:tc>
        <w:tc>
          <w:tcPr>
            <w:tcW w:w="53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this registration statement becomes effective.</w:t>
      </w:r>
    </w:p>
    <w:p>
      <w:pPr>
        <w:sectPr>
          <w:pgSz w:w="11900" w:h="16838" w:orient="portrait"/>
          <w:cols w:equalWidth="0" w:num="1">
            <w:col w:w="10880"/>
          </w:cols>
          <w:pgMar w:left="240" w:top="230" w:right="779" w:bottom="1440" w:gutter="0" w:footer="0" w:header="0"/>
        </w:sectPr>
      </w:pPr>
    </w:p>
    <w:bookmarkStart w:id="1" w:name="page2"/>
    <w:bookmarkEnd w:id="1"/>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2"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76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66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80" w:type="dxa"/>
            <w:vAlign w:val="bottom"/>
            <w:gridSpan w:val="3"/>
          </w:tcPr>
          <w:p>
            <w:pPr>
              <w:spacing w:after="0"/>
              <w:rPr>
                <w:sz w:val="20"/>
                <w:szCs w:val="20"/>
                <w:color w:val="auto"/>
              </w:rPr>
            </w:pPr>
            <w:r>
              <w:rPr>
                <w:rFonts w:ascii="Arial" w:cs="Arial" w:eastAsia="Arial" w:hAnsi="Arial"/>
                <w:sz w:val="18"/>
                <w:szCs w:val="18"/>
                <w:color w:val="auto"/>
                <w:w w:val="93"/>
              </w:rPr>
              <w:t>Large accelerated filer</w:t>
            </w:r>
          </w:p>
        </w:tc>
        <w:tc>
          <w:tcPr>
            <w:tcW w:w="3840" w:type="dxa"/>
            <w:vAlign w:val="bottom"/>
            <w:gridSpan w:val="3"/>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80" w:type="dxa"/>
            <w:vAlign w:val="bottom"/>
            <w:gridSpan w:val="2"/>
          </w:tcPr>
          <w:p>
            <w:pPr>
              <w:ind w:left="600"/>
              <w:spacing w:after="0"/>
              <w:rPr>
                <w:sz w:val="20"/>
                <w:szCs w:val="20"/>
                <w:color w:val="auto"/>
              </w:rPr>
            </w:pPr>
            <w:r>
              <w:rPr>
                <w:rFonts w:ascii="Arial" w:cs="Arial" w:eastAsia="Arial" w:hAnsi="Arial"/>
                <w:sz w:val="18"/>
                <w:szCs w:val="18"/>
                <w:color w:val="auto"/>
                <w:w w:val="97"/>
              </w:rPr>
              <w:t>Accelerated filer</w:t>
            </w:r>
          </w:p>
        </w:tc>
        <w:tc>
          <w:tcPr>
            <w:tcW w:w="1060" w:type="dxa"/>
            <w:vAlign w:val="bottom"/>
          </w:tcPr>
          <w:p>
            <w:pPr>
              <w:spacing w:after="0"/>
              <w:rPr>
                <w:sz w:val="24"/>
                <w:szCs w:val="24"/>
                <w:color w:val="auto"/>
              </w:rPr>
            </w:pP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680" w:type="dxa"/>
            <w:vAlign w:val="bottom"/>
            <w:gridSpan w:val="3"/>
          </w:tcPr>
          <w:p>
            <w:pPr>
              <w:spacing w:after="0"/>
              <w:rPr>
                <w:sz w:val="20"/>
                <w:szCs w:val="20"/>
                <w:color w:val="auto"/>
              </w:rPr>
            </w:pPr>
            <w:r>
              <w:rPr>
                <w:rFonts w:ascii="Arial" w:cs="Arial" w:eastAsia="Arial" w:hAnsi="Arial"/>
                <w:sz w:val="18"/>
                <w:szCs w:val="18"/>
                <w:color w:val="auto"/>
                <w:w w:val="99"/>
              </w:rPr>
              <w:t>Non-accelerated filer</w:t>
            </w:r>
          </w:p>
        </w:tc>
        <w:tc>
          <w:tcPr>
            <w:tcW w:w="3840" w:type="dxa"/>
            <w:vAlign w:val="bottom"/>
            <w:gridSpan w:val="3"/>
          </w:tcPr>
          <w:p>
            <w:pPr>
              <w:ind w:left="24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(Do not check if a smaller reporting company)</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94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580" w:type="dxa"/>
            <w:vAlign w:val="bottom"/>
            <w:gridSpan w:val="6"/>
          </w:tcPr>
          <w:p>
            <w:pPr>
              <w:ind w:left="230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140" w:type="dxa"/>
            <w:vAlign w:val="bottom"/>
            <w:tcBorders>
              <w:right w:val="single" w:sz="8" w:color="auto"/>
            </w:tcBorders>
            <w:vMerge w:val="restart"/>
          </w:tcPr>
          <w:p>
            <w:pPr>
              <w:jc w:val="center"/>
              <w:ind w:right="314"/>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9"/>
                <w:szCs w:val="9"/>
                <w:color w:val="auto"/>
              </w:rPr>
            </w:pPr>
          </w:p>
        </w:tc>
        <w:tc>
          <w:tcPr>
            <w:tcW w:w="1360" w:type="dxa"/>
            <w:vAlign w:val="bottom"/>
            <w:tcBorders>
              <w:right w:val="single" w:sz="8" w:color="auto"/>
            </w:tcBorders>
          </w:tcPr>
          <w:p>
            <w:pPr>
              <w:jc w:val="center"/>
              <w:ind w:right="5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15"/>
              <w:spacing w:after="0" w:line="106" w:lineRule="exact"/>
              <w:rPr>
                <w:sz w:val="20"/>
                <w:szCs w:val="20"/>
                <w:color w:val="auto"/>
              </w:rPr>
            </w:pPr>
            <w:r>
              <w:rPr>
                <w:rFonts w:ascii="Arial" w:cs="Arial" w:eastAsia="Arial" w:hAnsi="Arial"/>
                <w:sz w:val="12"/>
                <w:szCs w:val="12"/>
                <w:b w:val="1"/>
                <w:bCs w:val="1"/>
                <w:color w:val="auto"/>
              </w:rPr>
              <w:t>Proposed</w:t>
            </w: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56"/>
              <w:spacing w:after="0" w:line="149" w:lineRule="exact"/>
              <w:rPr>
                <w:sz w:val="20"/>
                <w:szCs w:val="20"/>
                <w:color w:val="auto"/>
              </w:rPr>
            </w:pPr>
            <w:r>
              <w:rPr>
                <w:rFonts w:ascii="Arial" w:cs="Arial" w:eastAsia="Arial" w:hAnsi="Arial"/>
                <w:sz w:val="14"/>
                <w:szCs w:val="14"/>
                <w:b w:val="1"/>
                <w:bCs w:val="1"/>
                <w:color w:val="auto"/>
                <w:w w:val="94"/>
              </w:rPr>
              <w:t>maximum</w:t>
            </w:r>
          </w:p>
        </w:tc>
        <w:tc>
          <w:tcPr>
            <w:tcW w:w="1600" w:type="dxa"/>
            <w:vAlign w:val="bottom"/>
            <w:tcBorders>
              <w:right w:val="single" w:sz="8" w:color="auto"/>
            </w:tcBorders>
          </w:tcPr>
          <w:p>
            <w:pPr>
              <w:jc w:val="center"/>
              <w:ind w:left="15"/>
              <w:spacing w:after="0" w:line="149" w:lineRule="exact"/>
              <w:rPr>
                <w:sz w:val="20"/>
                <w:szCs w:val="20"/>
                <w:color w:val="auto"/>
              </w:rPr>
            </w:pPr>
            <w:r>
              <w:rPr>
                <w:rFonts w:ascii="Arial" w:cs="Arial" w:eastAsia="Arial" w:hAnsi="Arial"/>
                <w:sz w:val="14"/>
                <w:szCs w:val="14"/>
                <w:b w:val="1"/>
                <w:bCs w:val="1"/>
                <w:color w:val="auto"/>
                <w:w w:val="94"/>
              </w:rPr>
              <w:t>maximum</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380" w:type="dxa"/>
            <w:vAlign w:val="bottom"/>
            <w:tcBorders>
              <w:right w:val="single" w:sz="8" w:color="auto"/>
            </w:tcBorders>
            <w:gridSpan w:val="2"/>
          </w:tcPr>
          <w:p>
            <w:pPr>
              <w:ind w:left="220"/>
              <w:spacing w:after="0" w:line="158" w:lineRule="exact"/>
              <w:rPr>
                <w:sz w:val="20"/>
                <w:szCs w:val="20"/>
                <w:color w:val="auto"/>
              </w:rPr>
            </w:pPr>
            <w:r>
              <w:rPr>
                <w:rFonts w:ascii="Arial" w:cs="Arial" w:eastAsia="Arial" w:hAnsi="Arial"/>
                <w:sz w:val="14"/>
                <w:szCs w:val="14"/>
                <w:b w:val="1"/>
                <w:bCs w:val="1"/>
                <w:color w:val="auto"/>
              </w:rPr>
              <w:t>Title of each class of</w:t>
            </w:r>
          </w:p>
        </w:tc>
        <w:tc>
          <w:tcPr>
            <w:tcW w:w="460" w:type="dxa"/>
            <w:vAlign w:val="bottom"/>
          </w:tcPr>
          <w:p>
            <w:pPr>
              <w:spacing w:after="0"/>
              <w:rPr>
                <w:sz w:val="13"/>
                <w:szCs w:val="13"/>
                <w:color w:val="auto"/>
              </w:rPr>
            </w:pPr>
          </w:p>
        </w:tc>
        <w:tc>
          <w:tcPr>
            <w:tcW w:w="1140" w:type="dxa"/>
            <w:vAlign w:val="bottom"/>
            <w:tcBorders>
              <w:right w:val="single" w:sz="8" w:color="auto"/>
            </w:tcBorders>
          </w:tcPr>
          <w:p>
            <w:pPr>
              <w:ind w:left="220"/>
              <w:spacing w:after="0" w:line="158" w:lineRule="exact"/>
              <w:rPr>
                <w:sz w:val="20"/>
                <w:szCs w:val="20"/>
                <w:color w:val="auto"/>
              </w:rPr>
            </w:pPr>
            <w:r>
              <w:rPr>
                <w:rFonts w:ascii="Arial" w:cs="Arial" w:eastAsia="Arial" w:hAnsi="Arial"/>
                <w:sz w:val="14"/>
                <w:szCs w:val="14"/>
                <w:b w:val="1"/>
                <w:bCs w:val="1"/>
                <w:color w:val="auto"/>
              </w:rPr>
              <w:t>to be</w:t>
            </w:r>
          </w:p>
        </w:tc>
        <w:tc>
          <w:tcPr>
            <w:tcW w:w="240" w:type="dxa"/>
            <w:vAlign w:val="bottom"/>
          </w:tcPr>
          <w:p>
            <w:pPr>
              <w:spacing w:after="0"/>
              <w:rPr>
                <w:sz w:val="13"/>
                <w:szCs w:val="13"/>
                <w:color w:val="auto"/>
              </w:rPr>
            </w:pPr>
          </w:p>
        </w:tc>
        <w:tc>
          <w:tcPr>
            <w:tcW w:w="1360" w:type="dxa"/>
            <w:vAlign w:val="bottom"/>
            <w:tcBorders>
              <w:right w:val="single" w:sz="8" w:color="auto"/>
            </w:tcBorders>
          </w:tcPr>
          <w:p>
            <w:pPr>
              <w:jc w:val="center"/>
              <w:ind w:right="76"/>
              <w:spacing w:after="0" w:line="158" w:lineRule="exact"/>
              <w:rPr>
                <w:sz w:val="20"/>
                <w:szCs w:val="20"/>
                <w:color w:val="auto"/>
              </w:rPr>
            </w:pPr>
            <w:r>
              <w:rPr>
                <w:rFonts w:ascii="Arial" w:cs="Arial" w:eastAsia="Arial" w:hAnsi="Arial"/>
                <w:sz w:val="14"/>
                <w:szCs w:val="14"/>
                <w:b w:val="1"/>
                <w:bCs w:val="1"/>
                <w:color w:val="auto"/>
                <w:w w:val="93"/>
              </w:rPr>
              <w:t>offering price</w:t>
            </w: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280" w:type="dxa"/>
            <w:vAlign w:val="bottom"/>
          </w:tcPr>
          <w:p>
            <w:pPr>
              <w:spacing w:after="0"/>
              <w:rPr>
                <w:sz w:val="13"/>
                <w:szCs w:val="13"/>
                <w:color w:val="auto"/>
              </w:rPr>
            </w:pPr>
          </w:p>
        </w:tc>
        <w:tc>
          <w:tcPr>
            <w:tcW w:w="1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3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securities to be registered</w:t>
            </w:r>
          </w:p>
        </w:tc>
        <w:tc>
          <w:tcPr>
            <w:tcW w:w="460" w:type="dxa"/>
            <w:vAlign w:val="bottom"/>
            <w:tcBorders>
              <w:bottom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92"/>
              </w:rPr>
              <w:t>registered</w:t>
            </w:r>
            <w:r>
              <w:rPr>
                <w:rFonts w:ascii="Arial" w:cs="Arial" w:eastAsia="Arial" w:hAnsi="Arial"/>
                <w:sz w:val="12"/>
                <w:szCs w:val="12"/>
                <w:b w:val="1"/>
                <w:bCs w:val="1"/>
                <w:color w:val="auto"/>
                <w:w w:val="92"/>
              </w:rPr>
              <w:t>(1)</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per share</w:t>
            </w:r>
            <w:r>
              <w:rPr>
                <w:rFonts w:ascii="Arial" w:cs="Arial" w:eastAsia="Arial" w:hAnsi="Arial"/>
                <w:sz w:val="12"/>
                <w:szCs w:val="12"/>
                <w:b w:val="1"/>
                <w:bCs w:val="1"/>
                <w:color w:val="auto"/>
                <w:w w:val="93"/>
              </w:rPr>
              <w:t>(1)(2)</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r>
              <w:rPr>
                <w:rFonts w:ascii="Arial" w:cs="Arial" w:eastAsia="Arial" w:hAnsi="Arial"/>
                <w:sz w:val="12"/>
                <w:szCs w:val="12"/>
                <w:b w:val="1"/>
                <w:bCs w:val="1"/>
                <w:color w:val="auto"/>
                <w:w w:val="94"/>
              </w:rPr>
              <w:t>(1)(2)</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registration fee</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Primary Offering:</w:t>
            </w:r>
          </w:p>
        </w:tc>
        <w:tc>
          <w:tcPr>
            <w:tcW w:w="284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auto"/>
              <w:right w:val="single" w:sz="8" w:color="auto"/>
            </w:tcBorders>
            <w:gridSpan w:val="4"/>
          </w:tcPr>
          <w:p>
            <w:pPr>
              <w:ind w:left="340"/>
              <w:spacing w:after="0"/>
              <w:rPr>
                <w:sz w:val="20"/>
                <w:szCs w:val="20"/>
                <w:color w:val="auto"/>
              </w:rPr>
            </w:pPr>
            <w:r>
              <w:rPr>
                <w:rFonts w:ascii="Arial" w:cs="Arial" w:eastAsia="Arial" w:hAnsi="Arial"/>
                <w:sz w:val="18"/>
                <w:szCs w:val="18"/>
                <w:color w:val="auto"/>
              </w:rPr>
              <w:t>Common Stock, $0.0001 par value per share</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auto"/>
              <w:right w:val="single" w:sz="8" w:color="auto"/>
            </w:tcBorders>
            <w:gridSpan w:val="4"/>
          </w:tcPr>
          <w:p>
            <w:pPr>
              <w:ind w:left="340"/>
              <w:spacing w:after="0"/>
              <w:rPr>
                <w:sz w:val="20"/>
                <w:szCs w:val="20"/>
                <w:color w:val="auto"/>
              </w:rPr>
            </w:pPr>
            <w:r>
              <w:rPr>
                <w:rFonts w:ascii="Arial" w:cs="Arial" w:eastAsia="Arial" w:hAnsi="Arial"/>
                <w:sz w:val="18"/>
                <w:szCs w:val="18"/>
                <w:color w:val="auto"/>
              </w:rPr>
              <w:t>Preferred Stock, $0.0001 par value per share</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Warrants</w:t>
            </w:r>
          </w:p>
        </w:tc>
        <w:tc>
          <w:tcPr>
            <w:tcW w:w="284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Debt Securities</w:t>
            </w:r>
          </w:p>
        </w:tc>
        <w:tc>
          <w:tcPr>
            <w:tcW w:w="284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tcBorders>
              <w:right w:val="single" w:sz="8" w:color="auto"/>
            </w:tcBorders>
            <w:gridSpan w:val="4"/>
          </w:tcPr>
          <w:p>
            <w:pPr>
              <w:ind w:left="340"/>
              <w:spacing w:after="0" w:line="195" w:lineRule="exact"/>
              <w:rPr>
                <w:sz w:val="20"/>
                <w:szCs w:val="20"/>
                <w:color w:val="auto"/>
              </w:rPr>
            </w:pPr>
            <w:r>
              <w:rPr>
                <w:rFonts w:ascii="Arial" w:cs="Arial" w:eastAsia="Arial" w:hAnsi="Arial"/>
                <w:sz w:val="18"/>
                <w:szCs w:val="18"/>
                <w:color w:val="auto"/>
              </w:rPr>
              <w:t>Rights to purchase common stock, preferred stock, debt</w:t>
            </w:r>
          </w:p>
        </w:tc>
        <w:tc>
          <w:tcPr>
            <w:tcW w:w="46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Borders>
              <w:bottom w:val="single" w:sz="8" w:color="auto"/>
              <w:right w:val="single" w:sz="8" w:color="auto"/>
            </w:tcBorders>
            <w:gridSpan w:val="4"/>
          </w:tcPr>
          <w:p>
            <w:pPr>
              <w:ind w:left="520"/>
              <w:spacing w:after="0"/>
              <w:rPr>
                <w:sz w:val="20"/>
                <w:szCs w:val="20"/>
                <w:color w:val="auto"/>
              </w:rPr>
            </w:pPr>
            <w:r>
              <w:rPr>
                <w:rFonts w:ascii="Arial" w:cs="Arial" w:eastAsia="Arial" w:hAnsi="Arial"/>
                <w:sz w:val="18"/>
                <w:szCs w:val="18"/>
                <w:color w:val="auto"/>
              </w:rPr>
              <w:t>securities or units</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Units</w:t>
            </w:r>
          </w:p>
        </w:tc>
        <w:tc>
          <w:tcPr>
            <w:tcW w:w="284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auto"/>
              <w:right w:val="single" w:sz="8" w:color="auto"/>
            </w:tcBorders>
            <w:gridSpan w:val="4"/>
          </w:tcPr>
          <w:p>
            <w:pPr>
              <w:ind w:left="700"/>
              <w:spacing w:after="0"/>
              <w:rPr>
                <w:sz w:val="20"/>
                <w:szCs w:val="20"/>
                <w:color w:val="auto"/>
              </w:rPr>
            </w:pPr>
            <w:r>
              <w:rPr>
                <w:rFonts w:ascii="Arial" w:cs="Arial" w:eastAsia="Arial" w:hAnsi="Arial"/>
                <w:sz w:val="18"/>
                <w:szCs w:val="18"/>
                <w:color w:val="auto"/>
              </w:rPr>
              <w:t>Total Primary Offering</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$225,000,000</w:t>
            </w:r>
            <w:r>
              <w:rPr>
                <w:rFonts w:ascii="Arial" w:cs="Arial" w:eastAsia="Arial" w:hAnsi="Arial"/>
                <w:sz w:val="11"/>
                <w:szCs w:val="11"/>
                <w:b w:val="1"/>
                <w:bCs w:val="1"/>
                <w:color w:val="auto"/>
                <w:w w:val="90"/>
              </w:rPr>
              <w:t>(3)</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$26,077.50</w:t>
            </w:r>
            <w:r>
              <w:rPr>
                <w:rFonts w:ascii="Arial" w:cs="Arial" w:eastAsia="Arial" w:hAnsi="Arial"/>
                <w:sz w:val="11"/>
                <w:szCs w:val="11"/>
                <w:b w:val="1"/>
                <w:bCs w:val="1"/>
                <w:color w:val="auto"/>
                <w:w w:val="90"/>
              </w:rPr>
              <w:t>(4)</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Secondary Offering:</w:t>
            </w:r>
          </w:p>
        </w:tc>
        <w:tc>
          <w:tcPr>
            <w:tcW w:w="284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auto"/>
              <w:right w:val="single" w:sz="8" w:color="auto"/>
            </w:tcBorders>
            <w:gridSpan w:val="4"/>
          </w:tcPr>
          <w:p>
            <w:pPr>
              <w:ind w:left="340"/>
              <w:spacing w:after="0"/>
              <w:rPr>
                <w:sz w:val="20"/>
                <w:szCs w:val="20"/>
                <w:color w:val="auto"/>
              </w:rPr>
            </w:pPr>
            <w:r>
              <w:rPr>
                <w:rFonts w:ascii="Arial" w:cs="Arial" w:eastAsia="Arial" w:hAnsi="Arial"/>
                <w:sz w:val="18"/>
                <w:szCs w:val="18"/>
                <w:color w:val="auto"/>
              </w:rPr>
              <w:t>Common Stock, $0.0001 par value per share</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ind w:right="294"/>
              <w:spacing w:after="0"/>
              <w:rPr>
                <w:sz w:val="20"/>
                <w:szCs w:val="20"/>
                <w:color w:val="auto"/>
              </w:rPr>
            </w:pPr>
            <w:r>
              <w:rPr>
                <w:rFonts w:ascii="Arial" w:cs="Arial" w:eastAsia="Arial" w:hAnsi="Arial"/>
                <w:sz w:val="18"/>
                <w:szCs w:val="18"/>
                <w:color w:val="auto"/>
                <w:w w:val="89"/>
              </w:rPr>
              <w:t>5,057,458</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center"/>
              <w:ind w:right="76"/>
              <w:spacing w:after="0"/>
              <w:rPr>
                <w:sz w:val="20"/>
                <w:szCs w:val="20"/>
                <w:color w:val="auto"/>
              </w:rPr>
            </w:pPr>
            <w:r>
              <w:rPr>
                <w:rFonts w:ascii="Arial" w:cs="Arial" w:eastAsia="Arial" w:hAnsi="Arial"/>
                <w:sz w:val="18"/>
                <w:szCs w:val="18"/>
                <w:color w:val="auto"/>
                <w:w w:val="93"/>
              </w:rPr>
              <w:t>$20.72</w:t>
            </w:r>
            <w:r>
              <w:rPr>
                <w:rFonts w:ascii="Arial" w:cs="Arial" w:eastAsia="Arial" w:hAnsi="Arial"/>
                <w:sz w:val="11"/>
                <w:szCs w:val="11"/>
                <w:b w:val="1"/>
                <w:bCs w:val="1"/>
                <w:color w:val="auto"/>
                <w:w w:val="93"/>
              </w:rPr>
              <w:t>(5)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$104,765,242</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$12,142.29</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auto"/>
              <w:right w:val="single" w:sz="8" w:color="auto"/>
            </w:tcBorders>
            <w:gridSpan w:val="4"/>
          </w:tcPr>
          <w:p>
            <w:pPr>
              <w:ind w:left="700"/>
              <w:spacing w:after="0"/>
              <w:rPr>
                <w:sz w:val="20"/>
                <w:szCs w:val="20"/>
                <w:color w:val="auto"/>
              </w:rPr>
            </w:pPr>
            <w:r>
              <w:rPr>
                <w:rFonts w:ascii="Arial" w:cs="Arial" w:eastAsia="Arial" w:hAnsi="Arial"/>
                <w:sz w:val="18"/>
                <w:szCs w:val="18"/>
                <w:color w:val="auto"/>
              </w:rPr>
              <w:t>Total Secondary Offering</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ind w:right="294"/>
              <w:spacing w:after="0"/>
              <w:rPr>
                <w:sz w:val="20"/>
                <w:szCs w:val="20"/>
                <w:color w:val="auto"/>
              </w:rPr>
            </w:pPr>
            <w:r>
              <w:rPr>
                <w:rFonts w:ascii="Arial" w:cs="Arial" w:eastAsia="Arial" w:hAnsi="Arial"/>
                <w:sz w:val="18"/>
                <w:szCs w:val="18"/>
                <w:color w:val="auto"/>
                <w:w w:val="89"/>
              </w:rPr>
              <w:t>5,057,458</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center"/>
              <w:ind w:right="76"/>
              <w:spacing w:after="0"/>
              <w:rPr>
                <w:sz w:val="20"/>
                <w:szCs w:val="20"/>
                <w:color w:val="auto"/>
              </w:rPr>
            </w:pPr>
            <w:r>
              <w:rPr>
                <w:rFonts w:ascii="Arial" w:cs="Arial" w:eastAsia="Arial" w:hAnsi="Arial"/>
                <w:sz w:val="18"/>
                <w:szCs w:val="18"/>
                <w:color w:val="auto"/>
                <w:w w:val="93"/>
              </w:rPr>
              <w:t>$20.72</w:t>
            </w:r>
            <w:r>
              <w:rPr>
                <w:rFonts w:ascii="Arial" w:cs="Arial" w:eastAsia="Arial" w:hAnsi="Arial"/>
                <w:sz w:val="11"/>
                <w:szCs w:val="11"/>
                <w:b w:val="1"/>
                <w:bCs w:val="1"/>
                <w:color w:val="auto"/>
                <w:w w:val="93"/>
              </w:rPr>
              <w:t>(5)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$104,765,242</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$12,142.29</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TOTAL REGISTRATION FEE</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$329,765,242</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$38,219.79</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60" w:hanging="452"/>
        <w:spacing w:after="0" w:line="267"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With respect to the primary offering, the securities registered hereunder include such indeterminate amount or number of shares of common stock; shares of preferred stock; warrants to purchase any combination of shares of common stock, shares of preferred stock or debt securities; debt securities; rights to purchase any combination of shares of common stock, shares of preferred stock, debt securities or units; and units representing an interest in a combination of one or more of the securities registered hereunder, as may from time to time be issued at indeterminate prices, with an aggregate initial offering price not to exceed $225,000,000. If any debt securities are issued at an original issue discount, then the issue price, and not the principal amount of such debt securities, shall be used for purposes of calculating the aggregate initial offering price of all securities issued. The securities also include such indeterminate number of shares of common stock, shares of preferred stock or principal amounts of debt securities as may be issued upon conversion or exchange for debt securities that provide for conversion or exchange, upon exercise of warrants to purchase shares of common stock, shares of preferred stock or debt securities, upon conversion of shares of preferred stock or pursuant to the anti-dilution provisions of any such securities.</w:t>
      </w:r>
    </w:p>
    <w:p>
      <w:pPr>
        <w:ind w:left="460" w:right="22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With respect to the primary offering, the proposed maximum per share and aggregate offering prices per class of securities will be determined from time to time by the registrant in connection with the issuance by the registrant of the securities registered under this registration statement and are not specified as to each class of security. Such information is not required to be included pursuant to General Instruction II.D of Form S-3 under the Securities Act of 1933, as amended (the Securities Act).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 under the Securities Act.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under the Securities Act.</w:t>
      </w:r>
    </w:p>
    <w:p>
      <w:pPr>
        <w:spacing w:after="0" w:line="9"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under the Securities Act based on the average of the high and low prices of the registrant’s common stock on The NASDAQ Global Select Market on December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211455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 w:right="239" w:bottom="112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280"/>
        <w:spacing w:after="0" w:line="289" w:lineRule="auto"/>
        <w:rPr>
          <w:sz w:val="20"/>
          <w:szCs w:val="20"/>
          <w:color w:val="auto"/>
        </w:rPr>
      </w:pPr>
      <w:r>
        <w:rPr>
          <w:rFonts w:ascii="Arial" w:cs="Arial" w:eastAsia="Arial" w:hAnsi="Arial"/>
          <w:sz w:val="17"/>
          <w:szCs w:val="17"/>
          <w:b w:val="1"/>
          <w:bCs w:val="1"/>
          <w:color w:val="FF4338"/>
        </w:rPr>
        <w:t>The information in this prospectus is not complete and may be changed. Neither we nor the selling stockholders may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4338"/>
        </w:rPr>
        <w:t>Subject to Completion, Dated December 16,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172085</wp:posOffset>
            </wp:positionV>
            <wp:extent cx="4425315" cy="788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2531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$225,000,000</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REGENXBIO INC.</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Rights to Purchase Common Stock, Preferred Stock, Debt Securities or Units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and</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5,057,458 Shares of Common Stock for Resale by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may offer and sell from time to time our shares of common stock, shares of preferred stock, warrants, debt securities and rights to purchase common stock, preferred stock or debt securities, as well as units that include any of these securities. We may sell any combination of these securities in one or more offerings with an aggregate initial offering price of up to $225,000,000.</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addition, the selling stockholders may from time to time offer and sell up to an aggregate of 5,057,458 shares of common stock. We will not receive any of the proceeds from the sale of our common stock by the selling stockholders.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offer securities pursuant to this prospectus, we will provide a prospectus supplement containing specific terms of the particular offering together with this prospectus. In any prospectus supplement relating to any sales by selling stockholders, we will, among other things, identify the number of shares of our common stock that each of the selling stockholders will be selling. You should read this prospectus and the applicable prospectus supplement carefully before you invest in any securities. The prospectus supplement also may add, update or change information contained in this prospectus. This prospectus may not be used to offer and sell securities unless accompanied by the applicable prospectus supplement.</w:t>
      </w:r>
    </w:p>
    <w:p>
      <w:pPr>
        <w:spacing w:after="0" w:line="193"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“RGNX.” On December 15, 2016, the closing price of our common stock was $20.90.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right="200" w:firstLine="456"/>
        <w:spacing w:after="0" w:line="243" w:lineRule="auto"/>
        <w:rPr>
          <w:sz w:val="20"/>
          <w:szCs w:val="20"/>
          <w:color w:val="auto"/>
        </w:rPr>
      </w:pPr>
      <w:r>
        <w:rPr>
          <w:rFonts w:ascii="Arial" w:cs="Arial" w:eastAsia="Arial" w:hAnsi="Arial"/>
          <w:sz w:val="22"/>
          <w:szCs w:val="22"/>
          <w:b w:val="1"/>
          <w:bCs w:val="1"/>
          <w:color w:val="auto"/>
        </w:rPr>
        <w:t>We are an “emerging growth company” as that term is used in the Jumpstart our Business Startups Act of 2012 and, as such, have elected to avail ourselves of certain reduced public company reporting requirements for this prospectus and future filings.</w:t>
      </w:r>
    </w:p>
    <w:p>
      <w:pPr>
        <w:sectPr>
          <w:pgSz w:w="11900" w:h="16838" w:orient="portrait"/>
          <w:cols w:equalWidth="0" w:num="1">
            <w:col w:w="11400"/>
          </w:cols>
          <w:pgMar w:left="240" w:top="459" w:right="259" w:bottom="1440" w:gutter="0" w:footer="0" w:header="0"/>
        </w:sectPr>
      </w:pPr>
    </w:p>
    <w:bookmarkStart w:id="3" w:name="page4"/>
    <w:bookmarkEnd w:id="3"/>
    <w:p>
      <w:pPr>
        <w:ind w:firstLine="456"/>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and in any accompanying prospectus supplement from our filings made with the Securities and Exchange Commission. See “</w:t>
      </w:r>
      <w:hyperlink w:anchor="page11">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6 of this prospectus.</w:t>
      </w:r>
    </w:p>
    <w:p>
      <w:pPr>
        <w:spacing w:after="0" w:line="150"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The securities may be offered and sold in the same offering or separate offerings directly or to or through underwriters or dealers, and also to other purchasers or through agents. The names of any underwriters or agents that are included in a sale of securities to you, and any applicable commissions or discounts, will be stated in an accompanying prospectus supplement. In addition, the underwriters, if any, may over-allot a portion of the securities.</w:t>
      </w:r>
    </w:p>
    <w:p>
      <w:pPr>
        <w:spacing w:after="0" w:line="143" w:lineRule="exact"/>
        <w:rPr>
          <w:sz w:val="20"/>
          <w:szCs w:val="20"/>
          <w:color w:val="auto"/>
        </w:rPr>
      </w:pPr>
    </w:p>
    <w:p>
      <w:pPr>
        <w:ind w:right="46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185420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tbl>
      <w:tblPr>
        <w:tblLayout w:type="fixed"/>
        <w:tblInd w:w="408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w w:val="97"/>
              </w:rPr>
              <w:t>The date of this prospectus is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 2016</w:t>
            </w:r>
          </w:p>
        </w:tc>
      </w:tr>
    </w:tbl>
    <w:p>
      <w:pPr>
        <w:sectPr>
          <w:pgSz w:w="11900" w:h="16838" w:orient="portrait"/>
          <w:cols w:equalWidth="0" w:num="1">
            <w:col w:w="11360"/>
          </w:cols>
          <w:pgMar w:left="240" w:top="112" w:right="29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920" w:type="dxa"/>
            <w:vAlign w:val="bottom"/>
            <w:gridSpan w:val="20"/>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2400" w:type="dxa"/>
            <w:vAlign w:val="bottom"/>
          </w:tcPr>
          <w:p>
            <w:pPr>
              <w:spacing w:after="0"/>
              <w:rPr>
                <w:sz w:val="17"/>
                <w:szCs w:val="17"/>
                <w:color w:val="auto"/>
              </w:rPr>
            </w:pPr>
          </w:p>
        </w:tc>
      </w:tr>
      <w:tr>
        <w:trPr>
          <w:trHeight w:val="534"/>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80" w:type="dxa"/>
            <w:vAlign w:val="bottom"/>
            <w:gridSpan w:val="2"/>
          </w:tcPr>
          <w:p>
            <w:pPr>
              <w:jc w:val="center"/>
              <w:ind w:right="1430"/>
              <w:spacing w:after="0"/>
              <w:rPr>
                <w:sz w:val="20"/>
                <w:szCs w:val="20"/>
                <w:color w:val="auto"/>
              </w:rPr>
            </w:pPr>
            <w:r>
              <w:rPr>
                <w:rFonts w:ascii="Arial" w:cs="Arial" w:eastAsia="Arial" w:hAnsi="Arial"/>
                <w:sz w:val="18"/>
                <w:szCs w:val="18"/>
                <w:b w:val="1"/>
                <w:bCs w:val="1"/>
                <w:color w:val="auto"/>
                <w:w w:val="98"/>
              </w:rPr>
              <w:t>TABLE OF CONTENTS</w:t>
            </w:r>
          </w:p>
        </w:tc>
        <w:tc>
          <w:tcPr>
            <w:tcW w:w="2400" w:type="dxa"/>
            <w:vAlign w:val="bottom"/>
          </w:tcPr>
          <w:p>
            <w:pPr>
              <w:spacing w:after="0"/>
              <w:rPr>
                <w:sz w:val="24"/>
                <w:szCs w:val="24"/>
                <w:color w:val="auto"/>
              </w:rPr>
            </w:pPr>
          </w:p>
        </w:tc>
      </w:tr>
      <w:tr>
        <w:trPr>
          <w:trHeight w:val="419"/>
        </w:trPr>
        <w:tc>
          <w:tcPr>
            <w:tcW w:w="224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ABOUT THIS PROSPECTUS</w:t>
              </w:r>
            </w:hyperlink>
          </w:p>
        </w:tc>
        <w:tc>
          <w:tcPr>
            <w:tcW w:w="6680" w:type="dxa"/>
            <w:vAlign w:val="bottom"/>
            <w:gridSpan w:val="8"/>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892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4040" w:type="dxa"/>
            <w:vAlign w:val="bottom"/>
            <w:tcBorders>
              <w:bottom w:val="single" w:sz="8" w:color="0000EE"/>
            </w:tcBorders>
            <w:gridSpan w:val="18"/>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INFORMATION INCORPORATED BY REFERENCE</w:t>
              </w:r>
            </w:hyperlink>
          </w:p>
        </w:tc>
        <w:tc>
          <w:tcPr>
            <w:tcW w:w="4880" w:type="dxa"/>
            <w:vAlign w:val="bottom"/>
            <w:gridSpan w:val="2"/>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892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SPECIAL NOTE REGARDING FORWARD-LOOKING STATEMENTS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5340" w:type="dxa"/>
            <w:vAlign w:val="bottom"/>
            <w:tcBorders>
              <w:top w:val="single" w:sz="8" w:color="0000EE"/>
            </w:tcBorders>
            <w:gridSpan w:val="1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THE COMPANY</w:t>
              </w:r>
            </w:hyperlink>
          </w:p>
        </w:tc>
        <w:tc>
          <w:tcPr>
            <w:tcW w:w="35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2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11">
              <w:r>
                <w:rPr>
                  <w:rFonts w:ascii="Arial" w:cs="Arial" w:eastAsia="Arial" w:hAnsi="Arial"/>
                  <w:sz w:val="18"/>
                  <w:szCs w:val="18"/>
                  <w:color w:val="0000EE"/>
                  <w:w w:val="93"/>
                </w:rPr>
                <w:t>RISK FACTORS</w:t>
              </w:r>
            </w:hyperlink>
          </w:p>
        </w:tc>
        <w:tc>
          <w:tcPr>
            <w:tcW w:w="20" w:type="dxa"/>
            <w:vAlign w:val="bottom"/>
            <w:tcBorders>
              <w:top w:val="single" w:sz="8" w:color="0000EE"/>
            </w:tcBorders>
          </w:tcPr>
          <w:p>
            <w:pPr>
              <w:spacing w:after="0"/>
              <w:rPr>
                <w:sz w:val="24"/>
                <w:szCs w:val="24"/>
                <w:color w:val="auto"/>
              </w:rPr>
            </w:pPr>
          </w:p>
        </w:tc>
        <w:tc>
          <w:tcPr>
            <w:tcW w:w="7640" w:type="dxa"/>
            <w:vAlign w:val="bottom"/>
            <w:gridSpan w:val="17"/>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8920" w:type="dxa"/>
            <w:vAlign w:val="bottom"/>
            <w:gridSpan w:val="2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RATIO OF EARNINGS TO FIXED CHARGES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6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USE OF PROCEEDS</w:t>
              </w:r>
            </w:hyperlink>
          </w:p>
        </w:tc>
        <w:tc>
          <w:tcPr>
            <w:tcW w:w="1900" w:type="dxa"/>
            <w:vAlign w:val="bottom"/>
            <w:tcBorders>
              <w:top w:val="single" w:sz="8" w:color="0000EE"/>
            </w:tcBorders>
            <w:gridSpan w:val="9"/>
          </w:tcPr>
          <w:p>
            <w:pPr>
              <w:spacing w:after="0"/>
              <w:rPr>
                <w:sz w:val="24"/>
                <w:szCs w:val="24"/>
                <w:color w:val="auto"/>
              </w:rPr>
            </w:pPr>
          </w:p>
        </w:tc>
        <w:tc>
          <w:tcPr>
            <w:tcW w:w="5420" w:type="dxa"/>
            <w:vAlign w:val="bottom"/>
            <w:gridSpan w:val="4"/>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288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11">
              <w:r>
                <w:rPr>
                  <w:rFonts w:ascii="Arial" w:cs="Arial" w:eastAsia="Arial" w:hAnsi="Arial"/>
                  <w:sz w:val="18"/>
                  <w:szCs w:val="18"/>
                  <w:color w:val="0000EE"/>
                  <w:w w:val="95"/>
                </w:rPr>
                <w:t>DESCRIPTION OF CAPITAL STOCK</w:t>
              </w:r>
            </w:hyperlink>
          </w:p>
        </w:tc>
        <w:tc>
          <w:tcPr>
            <w:tcW w:w="6040" w:type="dxa"/>
            <w:vAlign w:val="bottom"/>
            <w:gridSpan w:val="6"/>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892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DESCRIPTION OF WARRANTS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8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304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DESCRIPTION OF DEBT SECURITIES</w:t>
              </w:r>
            </w:hyperlink>
          </w:p>
        </w:tc>
        <w:tc>
          <w:tcPr>
            <w:tcW w:w="5880" w:type="dxa"/>
            <w:vAlign w:val="bottom"/>
            <w:gridSpan w:val="5"/>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892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DESCRIPTION OF RIGHTS</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2140" w:type="dxa"/>
            <w:vAlign w:val="bottom"/>
            <w:tcBorders>
              <w:top w:val="single" w:sz="8" w:color="0000EE"/>
            </w:tcBorders>
            <w:gridSpan w:val="10"/>
          </w:tcPr>
          <w:p>
            <w:pPr>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DESCRIPTION OF UNITS</w:t>
              </w:r>
            </w:hyperlink>
          </w:p>
        </w:tc>
        <w:tc>
          <w:tcPr>
            <w:tcW w:w="6780" w:type="dxa"/>
            <w:vAlign w:val="bottom"/>
            <w:gridSpan w:val="10"/>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700" w:type="dxa"/>
            <w:vAlign w:val="bottom"/>
            <w:gridSpan w:val="9"/>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222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27">
              <w:r>
                <w:rPr>
                  <w:rFonts w:ascii="Arial" w:cs="Arial" w:eastAsia="Arial" w:hAnsi="Arial"/>
                  <w:sz w:val="18"/>
                  <w:szCs w:val="18"/>
                  <w:color w:val="0000EE"/>
                  <w:w w:val="95"/>
                </w:rPr>
                <w:t>SELLING STOCKHOLDERS</w:t>
              </w:r>
            </w:hyperlink>
          </w:p>
        </w:tc>
        <w:tc>
          <w:tcPr>
            <w:tcW w:w="6700" w:type="dxa"/>
            <w:vAlign w:val="bottom"/>
            <w:gridSpan w:val="9"/>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206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28">
              <w:r>
                <w:rPr>
                  <w:rFonts w:ascii="Arial" w:cs="Arial" w:eastAsia="Arial" w:hAnsi="Arial"/>
                  <w:sz w:val="18"/>
                  <w:szCs w:val="18"/>
                  <w:color w:val="0000EE"/>
                  <w:w w:val="97"/>
                </w:rPr>
                <w:t>PLAN OF DISTRIBUTION</w:t>
              </w:r>
            </w:hyperlink>
          </w:p>
        </w:tc>
        <w:tc>
          <w:tcPr>
            <w:tcW w:w="6860" w:type="dxa"/>
            <w:vAlign w:val="bottom"/>
            <w:gridSpan w:val="11"/>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892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DIVIDEND POLICY</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580" w:type="dxa"/>
            <w:vAlign w:val="bottom"/>
            <w:tcBorders>
              <w:top w:val="single" w:sz="8" w:color="0000EE"/>
            </w:tcBorders>
            <w:gridSpan w:val="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MATTERS</w:t>
              </w:r>
            </w:hyperlink>
          </w:p>
        </w:tc>
        <w:tc>
          <w:tcPr>
            <w:tcW w:w="7340" w:type="dxa"/>
            <w:vAlign w:val="bottom"/>
            <w:gridSpan w:val="14"/>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460" w:type="dxa"/>
            <w:vAlign w:val="bottom"/>
            <w:tcBorders>
              <w:top w:val="single" w:sz="8" w:color="0000EE"/>
            </w:tcBorders>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EXPERTS</w:t>
              </w:r>
            </w:hyperlink>
          </w:p>
        </w:tc>
        <w:tc>
          <w:tcPr>
            <w:tcW w:w="7460" w:type="dxa"/>
            <w:vAlign w:val="bottom"/>
            <w:gridSpan w:val="15"/>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85"/>
        </w:trPr>
        <w:tc>
          <w:tcPr>
            <w:tcW w:w="7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580" w:type="dxa"/>
            <w:vAlign w:val="bottom"/>
          </w:tcPr>
          <w:p>
            <w:pPr>
              <w:jc w:val="center"/>
              <w:ind w:right="2750"/>
              <w:spacing w:after="0"/>
              <w:rPr>
                <w:sz w:val="20"/>
                <w:szCs w:val="20"/>
                <w:color w:val="auto"/>
              </w:rPr>
            </w:pPr>
            <w:r>
              <w:rPr>
                <w:rFonts w:ascii="Arial" w:cs="Arial" w:eastAsia="Arial" w:hAnsi="Arial"/>
                <w:sz w:val="18"/>
                <w:szCs w:val="18"/>
                <w:color w:val="auto"/>
              </w:rPr>
              <w:t>i</w:t>
            </w:r>
          </w:p>
        </w:tc>
        <w:tc>
          <w:tcPr>
            <w:tcW w:w="2400" w:type="dxa"/>
            <w:vAlign w:val="bottom"/>
          </w:tcPr>
          <w:p>
            <w:pPr>
              <w:spacing w:after="0"/>
              <w:rPr>
                <w:sz w:val="24"/>
                <w:szCs w:val="24"/>
                <w:color w:val="auto"/>
              </w:rPr>
            </w:pPr>
          </w:p>
        </w:tc>
      </w:tr>
    </w:tbl>
    <w:p>
      <w:pPr>
        <w:sectPr>
          <w:pgSz w:w="11900" w:h="16838" w:orient="portrait"/>
          <w:cols w:equalWidth="0" w:num="1">
            <w:col w:w="11320"/>
          </w:cols>
          <w:pgMar w:left="240" w:top="446"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(the SEC), using a “shelf” registration process. Under this shelf registration process, we may offer and sell from time to time any combination of the securities described in this prospectus in one or more offerings in amounts, at prices and on terms that we determine at the time of the offering, with an aggregate initial offering price of up to $225,000,000. In addition, under this shelf registration process, the selling stockholders may from time to time sell up to an aggregate of 5,057,458 shares of our common stock in one or more offerings. This prospectus provides you with a general description of the securities we or the selling stockholders may offer. Each time we or the selling stockholders offer securities under this registration statement we will provide a prospectus supplement that describes the terms of the relevant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“Information Incorporated by Reference.”</w:t>
      </w:r>
    </w:p>
    <w:p>
      <w:pPr>
        <w:spacing w:after="0" w:line="182"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registration statement that contains this prospectus, including the exhibits to the registration statement and the information incorporated by reference, provides additional information about us and our securities. That registration statement can be read at the SEC website (</w:t>
      </w:r>
      <w:r>
        <w:rPr>
          <w:rFonts w:ascii="Arial" w:cs="Arial" w:eastAsia="Arial" w:hAnsi="Arial"/>
          <w:sz w:val="18"/>
          <w:szCs w:val="18"/>
          <w:i w:val="1"/>
          <w:iCs w:val="1"/>
          <w:color w:val="auto"/>
        </w:rPr>
        <w:t>www.sec.gov</w:t>
      </w:r>
      <w:r>
        <w:rPr>
          <w:rFonts w:ascii="Arial" w:cs="Arial" w:eastAsia="Arial" w:hAnsi="Arial"/>
          <w:sz w:val="18"/>
          <w:szCs w:val="18"/>
          <w:color w:val="auto"/>
        </w:rPr>
        <w:t>) or at the SEC public reference room, as discussed below under the heading “Where You Can Find More Information.”</w:t>
      </w:r>
    </w:p>
    <w:p>
      <w:pPr>
        <w:spacing w:after="0" w:line="177"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or any applicable prospectus supplement. Neither we nor the selling stockholders have authorized anyone to provide you with information in addition to or different from that contained in this prospectus or any applicable prospectus supplement. We and the selling stockholders will be offering to sell, and seeking offers to buy, the shares only in jurisdictions where offers and sales are permitted. You should not assume that the information in this prospectus or any applicable prospectus supplement is accurate as of any date other than the date on the front of those documents.</w:t>
      </w:r>
    </w:p>
    <w:p>
      <w:pPr>
        <w:spacing w:after="0" w:line="158"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Unless the context otherwise requires, throughout this prospectus and any applicable prospectus supplement, the words “REGENXBIO,” “we,” “us,” the “registrant” or the “Company” refer to REGENXBIO Inc.; and the term “securities” refers collectively to the securities registered hereunder or any combination thereof.</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NAV and REGENXBIO are our registered trademarks. Any other trademarks appearing in this prospectus are the property of their respective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We have filed with the SEC a registration statement on Form S-3 under the Securities Act of 1933, as amended (the Securities Act), with respect to the securities offered by this prospectus. This prospectus, which is part of the registration statement, omits certain information, exhibits, schedules and undertakings set forth in the registration statement, as permitted by the SEC. For further information pertaining to us and the securities offered in this prospectus, reference is made to that registration statement and the exhibits and schedules to the registration statement. Statements contained in this prospectus as to the contents or provisions of any documents referred to in this prospectus are not necessarily complete, and in each instance where a copy of the document has been filed as an exhibit to the registration statement, reference is made to the exhibit for a more complete description of the matters involved.</w:t>
      </w:r>
    </w:p>
    <w:p>
      <w:pPr>
        <w:spacing w:after="0" w:line="189"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We file annual, quarterly and other reports, proxy and information statements and other information with the SEC. Copies of these materials may be inspected and copied at the public reference facilities maintained by the SEC at 100 F Street, N.E., Washington, D.C. 20549. Please call the SEC at 1-800-SEC-0330 for further information on the operation of its public reference room. The SEC maintains a website that contains reports, proxy statements and other information regarding us. The address of the SEC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General information about our company, including our annual report on Form 10-K, quarterly reports on Form 10-Q and current reports on Form 8-K, as well as any amendments and exhibits to those reports, are available free of charge through our website at </w:t>
      </w:r>
      <w:r>
        <w:rPr>
          <w:rFonts w:ascii="Arial" w:cs="Arial" w:eastAsia="Arial" w:hAnsi="Arial"/>
          <w:sz w:val="18"/>
          <w:szCs w:val="18"/>
          <w:i w:val="1"/>
          <w:iCs w:val="1"/>
          <w:color w:val="auto"/>
        </w:rPr>
        <w:t>www.regenxbio.com</w:t>
      </w:r>
      <w:r>
        <w:rPr>
          <w:rFonts w:ascii="Arial" w:cs="Arial" w:eastAsia="Arial" w:hAnsi="Arial"/>
          <w:sz w:val="18"/>
          <w:szCs w:val="18"/>
          <w:color w:val="auto"/>
        </w:rPr>
        <w:t xml:space="preserve"> as soon as reasonably practicable after we file them with, or furnish them to, the SEC. Information on, or that can be accessed through, our website is not incorporated into this prospectus or other securities filings and is not a part of these filings.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The SEC allows us to “incorporate by reference” into this prospectus the information contained in documents that we file with them, which means that we can disclose important information to you by referring you</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those documents. The information incorporated by reference is considered to be part of this prospectus. Information in this prospectus supersedes information incorporated by reference that we filed with the SEC before the date of this prospectus, while information that we file later with the SEC will automatically update and supersede prior information. Any information so updated and superseded shall not be deemed, except as so updated and superseded, to constitute a part of this prospectus. We incorporate by reference the documents listed below and any future filings we will make with the SEC under Sections 13(a), 13(c), 14 or 15(d) of the Securities Exchange Act of 1934, as amended (the Exchange Act), prior to the termination of the offering. Notwithstanding the foregoing, unless specifically stated to the contrary, none of the information that is not deemed “filed” with the SEC, including information furnished under Items 2.02 or 7.01 of any Current Report on Form 8-K, will be incorporated by reference into, or otherwise included in, this prospectus:</w:t>
      </w:r>
    </w:p>
    <w:p>
      <w:pPr>
        <w:spacing w:after="0" w:line="98" w:lineRule="exact"/>
        <w:rPr>
          <w:sz w:val="20"/>
          <w:szCs w:val="20"/>
          <w:color w:val="auto"/>
        </w:rPr>
      </w:pPr>
    </w:p>
    <w:p>
      <w:pPr>
        <w:ind w:left="1460" w:hanging="547"/>
        <w:spacing w:after="0"/>
        <w:tabs>
          <w:tab w:leader="none" w:pos="1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annual report on Form 10-K for the fiscal year ended December 31, 2015, filed with the SEC on March 3, 2016 (the Form 10-K);</w:t>
      </w:r>
    </w:p>
    <w:p>
      <w:pPr>
        <w:spacing w:after="0" w:line="142" w:lineRule="exact"/>
        <w:rPr>
          <w:rFonts w:ascii="Arial" w:cs="Arial" w:eastAsia="Arial" w:hAnsi="Arial"/>
          <w:sz w:val="17"/>
          <w:szCs w:val="17"/>
          <w:color w:val="auto"/>
        </w:rPr>
      </w:pPr>
    </w:p>
    <w:p>
      <w:pPr>
        <w:ind w:left="1460" w:right="80" w:hanging="547"/>
        <w:spacing w:after="0" w:line="277" w:lineRule="auto"/>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information contained in our definitive proxy statement on Schedule 14A for our 2016 annual meeting of stockholders, filed with the SEC on April 18, 2016, to the extent incorporated by reference in Part III of the Form 10-K;</w:t>
      </w:r>
    </w:p>
    <w:p>
      <w:pPr>
        <w:spacing w:after="0" w:line="75" w:lineRule="exact"/>
        <w:rPr>
          <w:rFonts w:ascii="Arial" w:cs="Arial" w:eastAsia="Arial" w:hAnsi="Arial"/>
          <w:sz w:val="18"/>
          <w:szCs w:val="18"/>
          <w:color w:val="auto"/>
        </w:rPr>
      </w:pPr>
    </w:p>
    <w:p>
      <w:pPr>
        <w:ind w:left="1460" w:right="20" w:hanging="547"/>
        <w:spacing w:after="0" w:line="277" w:lineRule="auto"/>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2016, June 30, 2016 and September 30, 2016, filed with the SEC on May 5, 2016, August 9, 2016 and November 9, 2016, respectively;</w:t>
      </w:r>
    </w:p>
    <w:p>
      <w:pPr>
        <w:spacing w:after="0" w:line="75" w:lineRule="exact"/>
        <w:rPr>
          <w:rFonts w:ascii="Arial" w:cs="Arial" w:eastAsia="Arial" w:hAnsi="Arial"/>
          <w:sz w:val="18"/>
          <w:szCs w:val="18"/>
          <w:color w:val="auto"/>
        </w:rPr>
      </w:pPr>
    </w:p>
    <w:p>
      <w:pPr>
        <w:ind w:left="1460" w:right="900" w:hanging="547"/>
        <w:spacing w:after="0" w:line="342" w:lineRule="auto"/>
        <w:tabs>
          <w:tab w:leader="none" w:pos="1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on January 7, 2016, March 3, 2016, April 19, 2016, May 5, 2016, June 1, 2016, July 5, 2016, August 2, 2016, August 9, 2016, August 16, 2016, September 12, 2016 and November 9, 2016; and</w:t>
      </w:r>
    </w:p>
    <w:p>
      <w:pPr>
        <w:spacing w:after="0" w:line="29" w:lineRule="exact"/>
        <w:rPr>
          <w:rFonts w:ascii="Arial" w:cs="Arial" w:eastAsia="Arial" w:hAnsi="Arial"/>
          <w:sz w:val="16"/>
          <w:szCs w:val="16"/>
          <w:color w:val="auto"/>
        </w:rPr>
      </w:pPr>
    </w:p>
    <w:p>
      <w:pPr>
        <w:ind w:left="1460" w:right="360" w:hanging="547"/>
        <w:spacing w:after="0" w:line="277" w:lineRule="auto"/>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the registration statement on Form 8-A (file no. 001-37553), filed on September 9, 2015, and all amendments and reports updating such description.</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You may also obtain, free of charge, a copy of any of these documents (other than exhibits to these documents unless the exhibits are specifically incorporated by reference into these documents or referred to in this prospectus) by writing or calling us at the following address and telephone number: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REGENXBIO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9600 Blackwell Road, Suite 210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Rockville, MD 20850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(240) 552-8181</w:t>
      </w:r>
    </w:p>
    <w:p>
      <w:pPr>
        <w:spacing w:after="0" w:line="211"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Information on, or that can be accessed through, our website is not incorporated into this prospectus or other securities filings and is not a part of these filings.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20" w:firstLine="913"/>
        <w:spacing w:after="0" w:line="287" w:lineRule="auto"/>
        <w:rPr>
          <w:sz w:val="20"/>
          <w:szCs w:val="20"/>
          <w:color w:val="auto"/>
        </w:rPr>
      </w:pPr>
      <w:r>
        <w:rPr>
          <w:rFonts w:ascii="Arial" w:cs="Arial" w:eastAsia="Arial" w:hAnsi="Arial"/>
          <w:sz w:val="16"/>
          <w:szCs w:val="16"/>
          <w:color w:val="auto"/>
        </w:rPr>
        <w:t>This prospectus and the information incorporated by reference in this prospectus contain “forward-looking statements” that involve substantial risks and uncertainties. All statements other than statements of historical facts contained in this prospectus, including statements regarding our future results of operations and financial position, strategy and plans, and our expectations for future operations, are forward-looking statements within the meaning of Section 27A of the Securities Act and Section 21E of the Exchange Act. The words “believe,” “may,” “will,” “estimate,” “continue,” “anticipate,” “design,” “intend,” “expect,” “could,” “plan,” “potential,” “predict,” “seek,” “should,” “would”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forward-looking statements are subject to a number of risks, uncertainties, assumptions and other important factors, including those described in documents we file from time to time with the SEC, specifically our most recent Annual Report on Form 10-K, our Quarterly Reports on Form 10-Q and our Current Reports on Form 8-K. In light of these risks, uncertainties, assumptions and other factors, the forward-looking events and circumstances discussed in this prospectus may not occur, and actual results could differ materially and adversely from those anticipated or implied in the forward- looking statements. Given these uncertainties, you should not place undue reliance on these forward-looking statements.</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31" w:lineRule="exact"/>
        <w:rPr>
          <w:sz w:val="20"/>
          <w:szCs w:val="20"/>
          <w:color w:val="auto"/>
        </w:rPr>
      </w:pPr>
    </w:p>
    <w:p>
      <w:pPr>
        <w:ind w:left="1920" w:hanging="440"/>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enrollment, commencement and completion of our clinical trials;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preclinical studies and clinical trials conducted by us and our development partners;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to obtain and maintain regulatory approval of our product candidates, and the labeling for any approved products;</w:t>
      </w:r>
    </w:p>
    <w:p>
      <w:pPr>
        <w:spacing w:after="0" w:line="142" w:lineRule="exact"/>
        <w:rPr>
          <w:rFonts w:ascii="Arial" w:cs="Arial" w:eastAsia="Arial" w:hAnsi="Arial"/>
          <w:sz w:val="17"/>
          <w:szCs w:val="17"/>
          <w:color w:val="auto"/>
        </w:rPr>
      </w:pPr>
    </w:p>
    <w:p>
      <w:pPr>
        <w:ind w:left="1920" w:hanging="440"/>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progress, expansion and costs of developing and commercializing our product candidates;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 and technology;</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strategies;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competition;</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trends and challenges in our business and the market in which we operate;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or retain key personnel;</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product candidates and the ability to serve those markets;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any of our product candidates;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development partnerships;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expenses and revenue;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regulatory developments in the United States and foreign countries;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or sufficiency of our cash and cash equivalents and needs for additional financing.</w:t>
      </w:r>
    </w:p>
    <w:p>
      <w:pPr>
        <w:spacing w:after="0" w:line="225"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 of activity, performance or achievements. Any forward-looking statement made by us in this prospectus speaks only as of the date of this prospectus. Except as required by law, we disclaim any duty to update any of these forward-looking statements after the date of such statements are made, or to update the reasons actual results could differ materially from those anticipated in these forward-looking statements, even if new information becomes available in the future.</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been filed as exhibits to the registration statement of which this prospectus is a part completely and with the understanding that our actual future results may be materially different from what we expect.</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All written and verbal forward-looking statements attributable to us or any person acting on our behalf are expressly qualified in their entirety by the cautionary statements contained or referred to in this section. We caution investors not to rely too heavily on the forward-looking statements we make or that are made on our behalf.</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addition, you should refer to the section of this prospectus entitled “Risk Factors” as well as the documents we have incorporated by reference for a discussion of other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We are a leading biotechnology company focused on the development, commercialization and licensing of recombinant adeno-associated virus (AAV) gene therapy. Our proprietary AAV gene delivery platform (our NAV Technology Platform) consists of exclusive rights to over 100 novel AAV vectors, including AAV7, AAV8, AAV9 and AAVrh10 (NAV Vectors). As of September 30, 2016, our NAV Technology Platform was being applied in the development of 29 product candidates for a variety of diseases, including five internally developed product candidates and 24 partnered product candidates developed by our third-party licensees (NAV Technology Licensees).</w:t>
      </w:r>
    </w:p>
    <w:p>
      <w:pPr>
        <w:spacing w:after="0" w:line="188"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We currently plan to build internal gene therapy franchises in the metabolic, retinal and neurodegenerative therapeutic areas, and develop multiple product candidates in each area. Our most advanced program, RGX-501, is for the treatment of homozygous familial hypercholesterolemia (HoFH), a severe genetic disease characterized by premature and aggressive plaque buildup, life threatening coronary artery disease and aortic valve disease due to abnormalities in the function or expression of the low-density lipoprotein receptor. We, together with trial sponsor the University of Pennsylvania, are actively recruiting and screening participants in a Phase I/II clinical trial to evaluate the safety and efficacy of RGX-501 for the treatment of HoFH.</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addition to RGX-501, we are developing product candidates in the retinal and neurodegenerative therapeutic areas, including:</w:t>
      </w:r>
    </w:p>
    <w:p>
      <w:pPr>
        <w:spacing w:after="0" w:line="127" w:lineRule="exact"/>
        <w:rPr>
          <w:sz w:val="20"/>
          <w:szCs w:val="20"/>
          <w:color w:val="auto"/>
        </w:rPr>
      </w:pPr>
    </w:p>
    <w:p>
      <w:pPr>
        <w:ind w:left="1460" w:right="200" w:hanging="547"/>
        <w:spacing w:after="0" w:line="282"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RGX-314</w:t>
      </w:r>
      <w:r>
        <w:rPr>
          <w:rFonts w:ascii="Arial" w:cs="Arial" w:eastAsia="Arial" w:hAnsi="Arial"/>
          <w:sz w:val="18"/>
          <w:szCs w:val="18"/>
          <w:color w:val="auto"/>
        </w:rPr>
        <w:t>: We are developing RGX-314 for the treatment of wet age-related macular degeneration (wet AMD), a leading cause of total</w:t>
      </w:r>
      <w:r>
        <w:rPr>
          <w:rFonts w:ascii="Arial" w:cs="Arial" w:eastAsia="Arial" w:hAnsi="Arial"/>
          <w:sz w:val="18"/>
          <w:szCs w:val="18"/>
          <w:b w:val="1"/>
          <w:bCs w:val="1"/>
          <w:color w:val="auto"/>
        </w:rPr>
        <w:t xml:space="preserve"> </w:t>
      </w:r>
      <w:r>
        <w:rPr>
          <w:rFonts w:ascii="Arial" w:cs="Arial" w:eastAsia="Arial" w:hAnsi="Arial"/>
          <w:sz w:val="18"/>
          <w:szCs w:val="18"/>
          <w:color w:val="auto"/>
        </w:rPr>
        <w:t>and partial vision loss in the U.S., Europe and Japan.</w:t>
      </w:r>
    </w:p>
    <w:p>
      <w:pPr>
        <w:spacing w:after="0" w:line="67" w:lineRule="exact"/>
        <w:rPr>
          <w:rFonts w:ascii="Arial" w:cs="Arial" w:eastAsia="Arial" w:hAnsi="Arial"/>
          <w:sz w:val="18"/>
          <w:szCs w:val="18"/>
          <w:color w:val="auto"/>
        </w:rPr>
      </w:pPr>
    </w:p>
    <w:p>
      <w:pPr>
        <w:ind w:left="1460" w:right="140" w:hanging="547"/>
        <w:spacing w:after="0" w:line="266"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RGX-111</w:t>
      </w:r>
      <w:r>
        <w:rPr>
          <w:rFonts w:ascii="Arial" w:cs="Arial" w:eastAsia="Arial" w:hAnsi="Arial"/>
          <w:sz w:val="18"/>
          <w:szCs w:val="18"/>
          <w:color w:val="auto"/>
        </w:rPr>
        <w:t>: We are developing RGX-111 for the treatment of the neurological symptoms of Mucopolysaccharidosis Type I (MPS I), a</w:t>
      </w:r>
      <w:r>
        <w:rPr>
          <w:rFonts w:ascii="Arial" w:cs="Arial" w:eastAsia="Arial" w:hAnsi="Arial"/>
          <w:sz w:val="18"/>
          <w:szCs w:val="18"/>
          <w:b w:val="1"/>
          <w:bCs w:val="1"/>
          <w:color w:val="auto"/>
        </w:rPr>
        <w:t xml:space="preserve"> </w:t>
      </w:r>
      <w:r>
        <w:rPr>
          <w:rFonts w:ascii="Arial" w:cs="Arial" w:eastAsia="Arial" w:hAnsi="Arial"/>
          <w:sz w:val="18"/>
          <w:szCs w:val="18"/>
          <w:color w:val="auto"/>
        </w:rPr>
        <w:t>severe genetic lysosomal storage disease caused by deficiency of a-l-iduronidase (IDUA), an enzyme required for breakdown of cellular waste products.</w:t>
      </w:r>
    </w:p>
    <w:p>
      <w:pPr>
        <w:spacing w:after="0" w:line="81" w:lineRule="exact"/>
        <w:rPr>
          <w:rFonts w:ascii="Arial" w:cs="Arial" w:eastAsia="Arial" w:hAnsi="Arial"/>
          <w:sz w:val="18"/>
          <w:szCs w:val="18"/>
          <w:color w:val="auto"/>
        </w:rPr>
      </w:pPr>
    </w:p>
    <w:p>
      <w:pPr>
        <w:ind w:left="1460" w:right="220" w:hanging="547"/>
        <w:spacing w:after="0" w:line="266"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RGX-121</w:t>
      </w:r>
      <w:r>
        <w:rPr>
          <w:rFonts w:ascii="Arial" w:cs="Arial" w:eastAsia="Arial" w:hAnsi="Arial"/>
          <w:sz w:val="18"/>
          <w:szCs w:val="18"/>
          <w:color w:val="auto"/>
        </w:rPr>
        <w:t>: We are developing RGX-121 for the treatment of the neurological symptoms of Mucopolysaccharidosis Type II (MPS II), a</w:t>
      </w:r>
      <w:r>
        <w:rPr>
          <w:rFonts w:ascii="Arial" w:cs="Arial" w:eastAsia="Arial" w:hAnsi="Arial"/>
          <w:sz w:val="18"/>
          <w:szCs w:val="18"/>
          <w:b w:val="1"/>
          <w:bCs w:val="1"/>
          <w:color w:val="auto"/>
        </w:rPr>
        <w:t xml:space="preserve"> </w:t>
      </w:r>
      <w:r>
        <w:rPr>
          <w:rFonts w:ascii="Arial" w:cs="Arial" w:eastAsia="Arial" w:hAnsi="Arial"/>
          <w:sz w:val="18"/>
          <w:szCs w:val="18"/>
          <w:color w:val="auto"/>
        </w:rPr>
        <w:t>severe genetic lysosomal storage disease with a similar phenotype to MPS I. MPS II is caused by deficiency of iduronate-2-sulfatase (IDS), an enzyme that is also responsible for breakdown of cellular waste products.</w:t>
      </w:r>
    </w:p>
    <w:p>
      <w:pPr>
        <w:spacing w:after="0" w:line="180"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Our partnered development pipeline benefits from the disease-specific expertise of our NAV Technology Licensees. Our partnering strategy provides us the flexibility to sublicense development of treatments designed to address significant unmet medical needs, while remaining focused on our core programs and therapeutic areas internally, which we believe enables us to achieve maximum value. We believe that the broad applicability of our NAV Technology Platform and any clinical successes of the treatments utilizing NAV Vectors will create new internal and partnered pipeline opportunities.</w:t>
      </w:r>
    </w:p>
    <w:p>
      <w:pPr>
        <w:spacing w:after="0" w:line="154"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The foundation of our NAV Technology Platform was discovered in an effort to identify next generation AAV vectors that could overcome the limitations of earlier generation AAV vectors (AAV1 through AAV6). We believe the key benefits of NAV Vectors over earlier generation AAV vectors include:</w:t>
      </w:r>
    </w:p>
    <w:p>
      <w:pPr>
        <w:spacing w:after="0" w:line="87" w:lineRule="exact"/>
        <w:rPr>
          <w:sz w:val="20"/>
          <w:szCs w:val="20"/>
          <w:color w:val="auto"/>
        </w:rPr>
      </w:pPr>
    </w:p>
    <w:p>
      <w:pPr>
        <w:ind w:left="1460" w:hanging="547"/>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gene expression;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longer-term gene expression;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broad and novel tissue selectivity;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lower immune response;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improved manufacturability.</w:t>
      </w:r>
    </w:p>
    <w:p>
      <w:pPr>
        <w:spacing w:after="0" w:line="22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We believe that gene therapies using our NAV Technology Platform have the potential to transform the treatment paradigm for patients with a wide range of severe diseases with significant unmet medical needs.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right="860" w:firstLine="913"/>
        <w:spacing w:after="0" w:line="277" w:lineRule="auto"/>
        <w:rPr>
          <w:sz w:val="20"/>
          <w:szCs w:val="20"/>
          <w:color w:val="auto"/>
        </w:rPr>
      </w:pPr>
      <w:r>
        <w:rPr>
          <w:rFonts w:ascii="Arial" w:cs="Arial" w:eastAsia="Arial" w:hAnsi="Arial"/>
          <w:sz w:val="18"/>
          <w:szCs w:val="18"/>
          <w:color w:val="auto"/>
        </w:rPr>
        <w:t>Our principal executive offices are located at 9600 Blackwell Road, Suite 210, Rockville, Maryland 20850 and our telephone number is (240) 552-8181.</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www.regenxbio.com</w:t>
      </w:r>
      <w:r>
        <w:rPr>
          <w:rFonts w:ascii="Arial" w:cs="Arial" w:eastAsia="Arial" w:hAnsi="Arial"/>
          <w:sz w:val="18"/>
          <w:szCs w:val="18"/>
          <w:color w:val="auto"/>
        </w:rPr>
        <w:t>. The information contained on our website is not incorporated by reference into this prospectus, and you should not consider any information contained on, or that can be accessed through, our website as part of this prospectus or any prospectus supplement or in deciding whether to purchase our securities.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913"/>
        <w:spacing w:after="0" w:line="288" w:lineRule="auto"/>
        <w:rPr>
          <w:sz w:val="20"/>
          <w:szCs w:val="20"/>
          <w:color w:val="auto"/>
        </w:rPr>
      </w:pPr>
      <w:r>
        <w:rPr>
          <w:rFonts w:ascii="Arial" w:cs="Arial" w:eastAsia="Arial" w:hAnsi="Arial"/>
          <w:sz w:val="16"/>
          <w:szCs w:val="16"/>
          <w:color w:val="auto"/>
        </w:rPr>
        <w:t>Investing in our securities involves risk. You should carefully consider the specific risks discussed or incorporated by reference into this prospectus and the applicable prospectus supplement, together with all the other information contained in this prospectus and the applicable prospectus supplement or incorporated by reference into this prospectus and the applicable prospectus supplement, including the risks, uncertainties and assumptions discussed under the caption “Risk Factors” in documents we file from time to time with the SEC, specifically our most recent Annual Report on Form 10-K, our Quarterly Reports on Form 10-Q, our Current Reports on Form 8-K and in subsequent filings. These risk factors may be amended, supplemented or superseded from time to time by other reports we file with the SEC in the future or by a prospectus supplement relating to a particular offering of our securities.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prospectus supplement or any additional risks and uncertainties actually occur, our business, financial condition and results of operations could be materially and adversely affected. In that case, the trading price of our securities could decline and you might lose all or part of your investment.</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RATIO OF EARNINGS TO FIXED CHARGES AND PREFERRED STOCK DIVIDEND REQUIREMENTS</w:t>
      </w:r>
    </w:p>
    <w:p>
      <w:pPr>
        <w:spacing w:after="0" w:line="229"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If we offer debt securities and/or preference equity securities under this prospectus, then we will, if required at that time, provide a ratio of earnings to fixed charges and/or ratio of combined fixed charges and preference dividends to earnings, respectively, in the applicable prospectus supplement for such offering.</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200" w:firstLine="913"/>
        <w:spacing w:after="0" w:line="279" w:lineRule="auto"/>
        <w:rPr>
          <w:sz w:val="20"/>
          <w:szCs w:val="20"/>
          <w:color w:val="auto"/>
        </w:rPr>
      </w:pPr>
      <w:r>
        <w:rPr>
          <w:rFonts w:ascii="Arial" w:cs="Arial" w:eastAsia="Arial" w:hAnsi="Arial"/>
          <w:sz w:val="17"/>
          <w:szCs w:val="17"/>
          <w:color w:val="auto"/>
        </w:rPr>
        <w:t>Unless otherwise indicated in the applicable prospectus supplement, we will use the net proceeds from the sale of the securities offered hereby for general corporate purposes, which may include, but are not limited to, providing financing for clinical trials, capital expenditures, additions to working capital, development of our product candidate pipeline, general and administrative expenses or other corporate obligations. We may use a portion of the net proceeds to pay off outstanding indebtedness, if any, or acquire or invest in businesses, products or technologies.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will not receive any proceeds from the sale of shares of our common stock by the selling stockholders.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following description is a general summary of the terms of the shares of common stock or shares of preferred stock that we may issue. In addition, the selling stockholders may sell up to an aggregate of 5,057,458 shares of our common stock from time to time in one or more offerings. The description below and in any prospectus supplement does not include all of the terms of the shares of common stock or shares of preferred stock and should be read together with our restated certificate of incorporation and amended and restated bylaws, copies of which have been filed previously with the SEC. For more information on how you can obtain copies of our restated certificate of incorporation and amended and restated bylaws, see “Where You Can Find More Information.”</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authorized capital stock consists of 110,000,000 shares, with a par value of $0.0001 per share, of which:</w:t>
      </w:r>
    </w:p>
    <w:p>
      <w:pPr>
        <w:spacing w:after="0" w:line="131" w:lineRule="exact"/>
        <w:rPr>
          <w:sz w:val="20"/>
          <w:szCs w:val="20"/>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100,000,000 shares are designated as common stock;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10,000,000 shares are designated as preferred stock.</w:t>
      </w:r>
    </w:p>
    <w:p>
      <w:pPr>
        <w:spacing w:after="0" w:line="225"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As of September 30, 2016, we had outstanding 26,475,379 shares of common stock held of record by 25 stockholders. No shares of preferred stock were outstanding as of September 30, 2016.</w:t>
      </w:r>
    </w:p>
    <w:p>
      <w:pPr>
        <w:sectPr>
          <w:pgSz w:w="11900" w:h="16838" w:orient="portrait"/>
          <w:cols w:equalWidth="0" w:num="1">
            <w:col w:w="11400"/>
          </w:cols>
          <w:pgMar w:left="240" w:top="459" w:right="25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459" w:right="2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140" w:firstLine="913"/>
        <w:spacing w:after="0" w:line="293" w:lineRule="auto"/>
        <w:rPr>
          <w:sz w:val="20"/>
          <w:szCs w:val="20"/>
          <w:color w:val="auto"/>
        </w:rPr>
      </w:pPr>
      <w:r>
        <w:rPr>
          <w:rFonts w:ascii="Arial" w:cs="Arial" w:eastAsia="Arial" w:hAnsi="Arial"/>
          <w:sz w:val="16"/>
          <w:szCs w:val="16"/>
          <w:color w:val="auto"/>
        </w:rPr>
        <w:t>Each holder of common stock is entitled to one vote per share on all matters submitted to a vote of stockholders. We have not provided for cumulative voting in the election of directors.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our common stock.</w:t>
      </w:r>
    </w:p>
    <w:p>
      <w:pPr>
        <w:spacing w:after="0" w:line="27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Stock Exchange Listing</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common stock is listed on The NASDAQ Global Select Market under the symbol “RGNX.”</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Our restated certificate of incorporation authorizes the issuance of up to 10,000,000 shares of preferred stock, none of which are issued and outstanding as of the date of this prospectus. We may issue, from time to time in one or more series, the terms of which may be determined at the time of issuance by our board of directors, without further action by our stockholders, shares of preferred stock and such shares may include voting rights, preferences as to dividends and liquidation, conversion rights, redemption rights and sinking fund provisions. The shares of each series of preferred stock shall have preferences, limitations and relative rights, including voting rights, identical with those of other shares of the same series and, except to the extent provided in the description of such series, of those of other series of preferred stock.</w:t>
      </w:r>
    </w:p>
    <w:p>
      <w:pPr>
        <w:spacing w:after="0" w:line="17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issuance of preferred stock could decrease the amount of earnings and assets available for distribution to the holders of common stock or adversely affect the rights and powers, including voting rights, of the holders of common stock. The issuance of preferred stock, while providing flexibility in connection with possible acquisitions and other corporate purposes, could, among other things, have the effect of delaying, deferring or preventing a change in control of our company, which could depress the market price of our common stock.</w:t>
      </w:r>
    </w:p>
    <w:p>
      <w:pPr>
        <w:spacing w:after="0" w:line="18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The description of the terms of a particular series of preferred stock in the applicable prospectus supplement will not be complete. You should refer to the applicable certificate of designation for complete information regarding a series of preferred stock. The prospectus supplement will also contain a description of U.S. federal income tax consequences relating to the preferred stock, if material.</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terms of any particular series of preferred stock will be described in the prospectus supplement relating to that particular series of preferred stock, including, where applicable:</w:t>
      </w:r>
    </w:p>
    <w:p>
      <w:pPr>
        <w:spacing w:after="0" w:line="76" w:lineRule="exact"/>
        <w:rPr>
          <w:sz w:val="20"/>
          <w:szCs w:val="20"/>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series designation, stated value and liquidation preference of such preferred stock and the number of shares offered;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130" w:lineRule="exact"/>
        <w:rPr>
          <w:rFonts w:ascii="Arial" w:cs="Arial" w:eastAsia="Arial" w:hAnsi="Arial"/>
          <w:sz w:val="18"/>
          <w:szCs w:val="18"/>
          <w:color w:val="auto"/>
        </w:rPr>
      </w:pPr>
    </w:p>
    <w:p>
      <w:pPr>
        <w:ind w:left="1460" w:right="300" w:hanging="547"/>
        <w:spacing w:after="0" w:line="308" w:lineRule="auto"/>
        <w:tabs>
          <w:tab w:leader="none" w:pos="1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dividend rate or rates (or method of calculation), the date or dates from which dividends shall accrue, and whether such dividends shall be cumulative or noncumulative and, if cumulative, the dates from which dividends shall commence to cumulate;</w:t>
      </w:r>
    </w:p>
    <w:p>
      <w:pPr>
        <w:spacing w:after="0" w:line="51" w:lineRule="exact"/>
        <w:rPr>
          <w:rFonts w:ascii="Arial" w:cs="Arial" w:eastAsia="Arial" w:hAnsi="Arial"/>
          <w:sz w:val="17"/>
          <w:szCs w:val="17"/>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that shares of such series shall be entitled to receive in the event of our liquidation, dissolution or winding-up;</w:t>
      </w:r>
    </w:p>
    <w:p>
      <w:pPr>
        <w:spacing w:after="0" w:line="130" w:lineRule="exact"/>
        <w:rPr>
          <w:rFonts w:ascii="Arial" w:cs="Arial" w:eastAsia="Arial" w:hAnsi="Arial"/>
          <w:sz w:val="18"/>
          <w:szCs w:val="18"/>
          <w:color w:val="auto"/>
        </w:rPr>
      </w:pPr>
    </w:p>
    <w:p>
      <w:pPr>
        <w:ind w:left="1460" w:right="120" w:hanging="547"/>
        <w:spacing w:after="0" w:line="277"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conditions, if any, on which shares of such series shall be convertible or exchangeable for shares of our stock of any other class or classes, or other series of the same class;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voting rights, if any, of shares of such series in addition to those set forth under the caption entitled, “Voting Rights” below;</w:t>
      </w:r>
    </w:p>
    <w:p>
      <w:pPr>
        <w:spacing w:after="0" w:line="142" w:lineRule="exact"/>
        <w:rPr>
          <w:rFonts w:ascii="Arial" w:cs="Arial" w:eastAsia="Arial" w:hAnsi="Arial"/>
          <w:sz w:val="17"/>
          <w:szCs w:val="17"/>
          <w:color w:val="auto"/>
        </w:rPr>
      </w:pPr>
    </w:p>
    <w:p>
      <w:pPr>
        <w:ind w:left="1460" w:right="820" w:hanging="547"/>
        <w:spacing w:after="0" w:line="277"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status as to reissuance or sale of shares of such series redeemed, purchased or otherwise reacquired, or surrendered to us on conversion or exchange;</w:t>
      </w:r>
    </w:p>
    <w:p>
      <w:pPr>
        <w:spacing w:after="0" w:line="75" w:lineRule="exact"/>
        <w:rPr>
          <w:rFonts w:ascii="Arial" w:cs="Arial" w:eastAsia="Arial" w:hAnsi="Arial"/>
          <w:sz w:val="18"/>
          <w:szCs w:val="18"/>
          <w:color w:val="auto"/>
        </w:rPr>
      </w:pPr>
    </w:p>
    <w:p>
      <w:pPr>
        <w:ind w:left="1460" w:hanging="547"/>
        <w:spacing w:after="0" w:line="259"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conditions and restrictions, if any, on the payment of dividends or on the making of other distributions on, or the purchase, redemption or other acquisition by us, of our common stock or of any other class of our stock ranking junior to the shares of such series as to dividends or upon liquidation (including, but not limited to, at such times as there are arrearages in the payment of dividends or sinking fund installments);</w:t>
      </w:r>
    </w:p>
    <w:p>
      <w:pPr>
        <w:spacing w:after="0" w:line="92" w:lineRule="exact"/>
        <w:rPr>
          <w:rFonts w:ascii="Arial" w:cs="Arial" w:eastAsia="Arial" w:hAnsi="Arial"/>
          <w:sz w:val="18"/>
          <w:szCs w:val="18"/>
          <w:color w:val="auto"/>
        </w:rPr>
      </w:pPr>
    </w:p>
    <w:p>
      <w:pPr>
        <w:ind w:left="1460" w:right="180" w:hanging="547"/>
        <w:spacing w:after="0" w:line="277"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conditions and restrictions, if any, on the creation of indebtedness, or on the issue of any additional stock ranking on a parity with or prior to the shares of such series as to dividends or upon liquidation; and</w:t>
      </w:r>
    </w:p>
    <w:p>
      <w:pPr>
        <w:spacing w:after="0" w:line="75" w:lineRule="exact"/>
        <w:rPr>
          <w:rFonts w:ascii="Arial" w:cs="Arial" w:eastAsia="Arial" w:hAnsi="Arial"/>
          <w:sz w:val="18"/>
          <w:szCs w:val="18"/>
          <w:color w:val="auto"/>
        </w:rPr>
      </w:pPr>
    </w:p>
    <w:p>
      <w:pPr>
        <w:ind w:left="1460" w:right="440" w:hanging="547"/>
        <w:spacing w:after="0" w:line="277"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additional dividend, liquidation, redemption, sinking or retirement fund and other rights, preferences, privileges, limitations and restrictions of such preferred stock.</w:t>
      </w:r>
    </w:p>
    <w:p>
      <w:pPr>
        <w:spacing w:after="0" w:line="170"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If we issue shares of preferred stock under this prospectus and any related prospectus supplement, the shares will be fully paid and non-assessable and will not have, or be subject to, any preemptive or similar rights.</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The General Corporation Law of the State of Delaware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transfer agent and registrar for any series of preferred stock will be set forth in the applicable prospectus supplement.</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Effects on Common Stock</w:t>
      </w:r>
    </w:p>
    <w:p>
      <w:pPr>
        <w:spacing w:after="0" w:line="11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Our issuance of preferred stock could decrease the amount of earnings and assets available for distribution to the holders of common stock or could adversely affect the rights and powers, including voting rights, of the holders of common stock. The issuance of preferred stock could have the effect of decreasing the market price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Restated Certificate of Incorporation and Amended and Restated Bylaws</w:t>
      </w:r>
    </w:p>
    <w:p>
      <w:pPr>
        <w:spacing w:after="0" w:line="229"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Delaware law, our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8" w:lineRule="exact"/>
        <w:rPr>
          <w:sz w:val="20"/>
          <w:szCs w:val="20"/>
          <w:color w:val="auto"/>
        </w:rPr>
      </w:pPr>
    </w:p>
    <w:p>
      <w:pPr>
        <w:ind w:right="100" w:firstLine="913"/>
        <w:spacing w:after="0" w:line="302"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Delaware Anti-Takeover Legislation</w:t>
      </w:r>
    </w:p>
    <w:p>
      <w:pPr>
        <w:spacing w:after="0" w:line="11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We are subject to Section 203 of the Delaware General Corporation Law. Section 203 prohibits a publicly held Delaware corporation from engaging in a “business combination” with an “interested stockholder” for a period of three years following the time of the transaction in which the person or entity became an interested stockholder, unless:</w:t>
      </w:r>
    </w:p>
    <w:p>
      <w:pPr>
        <w:spacing w:after="0" w:line="87" w:lineRule="exact"/>
        <w:rPr>
          <w:sz w:val="20"/>
          <w:szCs w:val="20"/>
          <w:color w:val="auto"/>
        </w:rPr>
      </w:pPr>
    </w:p>
    <w:p>
      <w:pPr>
        <w:ind w:left="1460" w:right="40" w:hanging="547"/>
        <w:spacing w:after="0" w:line="277" w:lineRule="auto"/>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to that time, either the business combination or the transaction that resulted in the stockholder becoming an interested stockholder is approved by the board of directors of the corporation;</w:t>
      </w:r>
    </w:p>
    <w:p>
      <w:pPr>
        <w:spacing w:after="0" w:line="75" w:lineRule="exact"/>
        <w:rPr>
          <w:rFonts w:ascii="Arial" w:cs="Arial" w:eastAsia="Arial" w:hAnsi="Arial"/>
          <w:sz w:val="18"/>
          <w:szCs w:val="18"/>
          <w:color w:val="auto"/>
        </w:rPr>
      </w:pPr>
    </w:p>
    <w:p>
      <w:pPr>
        <w:ind w:left="1460" w:right="380" w:hanging="547"/>
        <w:spacing w:after="0" w:line="286" w:lineRule="auto"/>
        <w:tabs>
          <w:tab w:leader="none" w:pos="1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outstanding voting stock of the corporation, excluding for this purpose shares owned by persons who are directors and also officers of the corporation and by specified employee benefit plans; or</w:t>
      </w:r>
    </w:p>
    <w:p>
      <w:pPr>
        <w:spacing w:after="0" w:line="70" w:lineRule="exact"/>
        <w:rPr>
          <w:rFonts w:ascii="Arial" w:cs="Arial" w:eastAsia="Arial" w:hAnsi="Arial"/>
          <w:sz w:val="17"/>
          <w:szCs w:val="17"/>
          <w:color w:val="auto"/>
        </w:rPr>
      </w:pPr>
    </w:p>
    <w:p>
      <w:pPr>
        <w:ind w:left="1460" w:right="220" w:hanging="547"/>
        <w:spacing w:after="0" w:line="342" w:lineRule="auto"/>
        <w:tabs>
          <w:tab w:leader="none" w:pos="1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or after such time, the business combination is approved by the board of directors of the corporation and by the affirmative vote, and not by written consent, of at least 66 2/3% of the outstanding voting stock that is not owned by the interested stockholder.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Section 203, a “business combination” is broadly defined to include:</w:t>
      </w:r>
    </w:p>
    <w:p>
      <w:pPr>
        <w:spacing w:after="0" w:line="131" w:lineRule="exact"/>
        <w:rPr>
          <w:sz w:val="20"/>
          <w:szCs w:val="20"/>
          <w:color w:val="auto"/>
        </w:rPr>
      </w:pPr>
    </w:p>
    <w:p>
      <w:pPr>
        <w:ind w:left="1460" w:hanging="547"/>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1460" w:right="380" w:hanging="547"/>
        <w:spacing w:after="0" w:line="277"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transaction that results in the issuance or transfer by the corporation of any stock of the corporation to the interested stockholder, subject to limited exceptions;</w:t>
      </w:r>
    </w:p>
    <w:p>
      <w:pPr>
        <w:spacing w:after="0" w:line="75"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An “interested stockholder” is a person who, together with affiliates and associates, owns or within the immediately preceding three years did own 15% or more of the corporation’s voting stock.</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 existence of authorized but unissued shares of preferred stock may have the effect of deferring hostile takeovers or delaying changes in control or management of our company.</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Stockholder Action by Written Consent; Stockholder Meetings</w:t>
      </w:r>
    </w:p>
    <w:p>
      <w:pPr>
        <w:spacing w:after="0" w:line="117"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Our restated certificate of incorporation and amended and restated bylaws eliminate the right of stockholders to act by written consent without a meeting. As a result, a holder controlling a majority of our capital stock would not be able to amend our bylaws or remove directors without holding a meeting of our stockholders called in accordance with our amended and restated bylaws. Our amended and restated bylaws provide that a special meeting of stockholders may be called only by our chairman of the board, chief executive officer or president, or by a resolution adopted by a majority of our board of directors. These provisions might delay the ability of our stockholders to force consideration of a proposal or for stockholders controlling a majority of our capital stock to take any action, including the removal of directors.</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These provisions could have the effect of delaying until the next stockholder meeting stockholder actions that are favored by the holders of a majority of our outstanding voting securities.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Our board of directors is divided into three classes. The directors in each class will serve for a three-year term, one class being elected each year by our stockholders. This system of electing and removing directors may discourage a third-party from making a tender offer or otherwise attempting to obtain control of us, because it generally makes it more difficult for stockholders to replace a majority of the directors.</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Our restated certificate of incorporation provides that no member of our board of directors may be removed from office by our stockholders except for cause and, in addition to any other vote required by law, upon the approval of holders of at least two-thirds of the total voting power of all of our outstanding voting stock then entitled to vote in the election of directors.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Board of Directors Vacancies</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Our restated certificate of incorporation and amended and restated bylaws authorize our board of directors to fill vacant directorships. In addition, the number of directors constituting our board of directors is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1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Our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17"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70"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The provisions of Delaware law, our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right="20" w:firstLine="913"/>
        <w:spacing w:after="0" w:line="284" w:lineRule="auto"/>
        <w:rPr>
          <w:sz w:val="20"/>
          <w:szCs w:val="20"/>
          <w:color w:val="auto"/>
        </w:rPr>
      </w:pPr>
      <w:r>
        <w:rPr>
          <w:rFonts w:ascii="Arial" w:cs="Arial" w:eastAsia="Arial" w:hAnsi="Arial"/>
          <w:sz w:val="16"/>
          <w:szCs w:val="16"/>
          <w:color w:val="auto"/>
        </w:rPr>
        <w:t>Our restated certificate of incorporation provides that the Court of Chancery of the State of Delaware (or, if the Court of Chancery does not have jurisdiction, the federal district court for the District of Delaware) will be the exclusive forum for any derivative action or proceeding brought on our behalf; any action asserting a breach of fiduciary duty; any action asserting a claim against us arising pursuant to the Delaware General Corporation Law, our restated certificate of incorporation or amended and restated bylaws; or any action asserting a claim against us that is governed by the internal affairs doctrine. Additionally, if the subject matter of any action within the scope of the preceding sentence is filed in a court other than a court located with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w:t>
      </w:r>
    </w:p>
    <w:p>
      <w:pPr>
        <w:spacing w:after="0" w:line="3" w:lineRule="exact"/>
        <w:rPr>
          <w:sz w:val="20"/>
          <w:szCs w:val="20"/>
          <w:color w:val="auto"/>
        </w:rPr>
      </w:pPr>
    </w:p>
    <w:p>
      <w:pPr>
        <w:ind w:right="240" w:firstLine="8"/>
        <w:spacing w:after="0" w:line="277" w:lineRule="auto"/>
        <w:tabs>
          <w:tab w:leader="none" w:pos="2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having service of process made upon such stockholder in any such action by service upon such stockholder’s counsel in the Foreign Action as agent for such stockholder.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Our restated certificate of incorporation includes provisions that limit the liability of our directors for monetary damages for breach of their fiduciary duty as directors, except for liability that cannot be eliminated under the Delaware General Corporation Law. Accordingly, our directors will not be personally liable for monetary damages for breach of their fiduciary duty as directors, except for liabilities:</w:t>
      </w:r>
    </w:p>
    <w:p>
      <w:pPr>
        <w:spacing w:after="0" w:line="87" w:lineRule="exact"/>
        <w:rPr>
          <w:sz w:val="20"/>
          <w:szCs w:val="20"/>
          <w:color w:val="auto"/>
        </w:rPr>
      </w:pPr>
    </w:p>
    <w:p>
      <w:pPr>
        <w:ind w:left="1460" w:hanging="547"/>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130" w:lineRule="exact"/>
        <w:rPr>
          <w:rFonts w:ascii="Arial" w:cs="Arial" w:eastAsia="Arial" w:hAnsi="Arial"/>
          <w:sz w:val="18"/>
          <w:szCs w:val="18"/>
          <w:color w:val="auto"/>
        </w:rPr>
      </w:pPr>
    </w:p>
    <w:p>
      <w:pPr>
        <w:ind w:left="1460" w:right="540" w:hanging="547"/>
        <w:spacing w:after="0" w:line="277" w:lineRule="auto"/>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unlawful payments of dividends or unlawful stock repurchases or redemptions, as provided under Section 174 of the Delaware General Corporation Law;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Any amendment or repeal of these provisions will require the approval of the holders of shares representing at least two-thirds of the shares entitled to vote in the election of directors, voting as one class.</w:t>
      </w:r>
    </w:p>
    <w:p>
      <w:pPr>
        <w:spacing w:after="0" w:line="170"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Our restated certificate of incorporation and amended and restated bylaws also provide that we will indemnify our directors and officers to the fullest extent permitted by Delaware law. Our certificate of incorporation and bylaws also permit us to purchase insurance on behalf of any officer, director, employee or other agent for any liability arising out of his or her actions as our officer, director, employee or agent, regardless of whether Delaware law would permit indemnification. As described above, we have entered into separate indemnification agreements with our directors, including affiliates of the selling stockholders, and executive officers that require us, among other things, to indemnify them against certain liabilities that may arise by reason of their status or service as directors and to advance their expenses incurred as a result of any proceeding against them as to which they could be indemnified. We believe that the limitation of liability provision in our certificate of incorporation and the indemnification agreements facilitate our ability to continue to attract and retain qualified individuals to serve as directors and officers. The limitation of liability and indemnification provisions in our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We may issue warrants for the purchase of shares of our common stock, shares of our preferred stock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18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187"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A copy of the forms of the warrant agreement and the warrant certificate, if any,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if any, see “Where You Can Find More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Warrants</w:t>
      </w:r>
    </w:p>
    <w:p>
      <w:pPr>
        <w:spacing w:after="0" w:line="121"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The prospectus supplement relating to a particular issue of warrants to issue shares of our common stock or shares of our preferred stock will describe the terms of the common share warrants and preferred share warrants, including the following:</w:t>
      </w:r>
    </w:p>
    <w:p>
      <w:pPr>
        <w:spacing w:after="0" w:line="76" w:lineRule="exact"/>
        <w:rPr>
          <w:sz w:val="20"/>
          <w:szCs w:val="20"/>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660" w:hanging="547"/>
        <w:spacing w:after="0" w:line="277"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designation and terms of the shares of common stock or shares of preferred stock that may be purchased upon exercise of the warrants;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130" w:lineRule="exact"/>
        <w:rPr>
          <w:rFonts w:ascii="Arial" w:cs="Arial" w:eastAsia="Arial" w:hAnsi="Arial"/>
          <w:sz w:val="18"/>
          <w:szCs w:val="18"/>
          <w:color w:val="auto"/>
        </w:rPr>
      </w:pPr>
    </w:p>
    <w:p>
      <w:pPr>
        <w:ind w:left="1460" w:right="300" w:hanging="547"/>
        <w:spacing w:after="0" w:line="277"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that the warrants are issued with and the number of warrants issued with each security;</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securities issued with the warrants will be separately transferable;</w:t>
      </w:r>
    </w:p>
    <w:p>
      <w:pPr>
        <w:spacing w:after="0" w:line="142" w:lineRule="exact"/>
        <w:rPr>
          <w:rFonts w:ascii="Arial" w:cs="Arial" w:eastAsia="Arial" w:hAnsi="Arial"/>
          <w:sz w:val="17"/>
          <w:szCs w:val="17"/>
          <w:color w:val="auto"/>
        </w:rPr>
      </w:pPr>
    </w:p>
    <w:p>
      <w:pPr>
        <w:ind w:left="1460" w:right="360" w:hanging="547"/>
        <w:spacing w:after="0" w:line="277"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of common stock or shares of preferred stock that may be purchased upon exercise of a warrant and the price at which the shares may be purchased upon exercise;</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commence and expire;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30" w:lineRule="exact"/>
        <w:rPr>
          <w:rFonts w:ascii="Arial" w:cs="Arial" w:eastAsia="Arial" w:hAnsi="Arial"/>
          <w:sz w:val="18"/>
          <w:szCs w:val="18"/>
          <w:color w:val="auto"/>
        </w:rPr>
      </w:pPr>
    </w:p>
    <w:p>
      <w:pPr>
        <w:ind w:left="1460" w:right="240" w:hanging="547"/>
        <w:spacing w:after="0" w:line="277"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and exercise of the warrants;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121"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The prospectus supplement relating to a particular issue of warrants to issue debt securities will describe the terms of those warrants, including the following:</w:t>
      </w:r>
    </w:p>
    <w:p>
      <w:pPr>
        <w:spacing w:after="0" w:line="76" w:lineRule="exact"/>
        <w:rPr>
          <w:sz w:val="20"/>
          <w:szCs w:val="20"/>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designation and terms of the debt securities purchasable upon exercise of the warrants;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130" w:lineRule="exact"/>
        <w:rPr>
          <w:rFonts w:ascii="Arial" w:cs="Arial" w:eastAsia="Arial" w:hAnsi="Arial"/>
          <w:sz w:val="18"/>
          <w:szCs w:val="18"/>
          <w:color w:val="auto"/>
        </w:rPr>
      </w:pPr>
    </w:p>
    <w:p>
      <w:pPr>
        <w:ind w:left="1460" w:right="320" w:hanging="547"/>
        <w:spacing w:after="0" w:line="277"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that the warrants are issued with and the number of warrants issued with each debt security;</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debt securities issued with them will be separately transferable;</w:t>
      </w:r>
    </w:p>
    <w:p>
      <w:pPr>
        <w:spacing w:after="0" w:line="142" w:lineRule="exact"/>
        <w:rPr>
          <w:rFonts w:ascii="Arial" w:cs="Arial" w:eastAsia="Arial" w:hAnsi="Arial"/>
          <w:sz w:val="17"/>
          <w:szCs w:val="17"/>
          <w:color w:val="auto"/>
        </w:rPr>
      </w:pPr>
    </w:p>
    <w:p>
      <w:pPr>
        <w:ind w:left="1460" w:hanging="547"/>
        <w:spacing w:after="0" w:line="277"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warrant and the price at which the debt securities may be purchased upon exercise;</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460" w:right="280" w:hanging="547"/>
        <w:spacing w:after="0" w:line="277"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warrants represented by the warrant certificates or debt securities that may be issued upon exercise of the warrants will be issued in registered or bearer form;</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relating to book-entry procedures, if any;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30" w:lineRule="exact"/>
        <w:rPr>
          <w:rFonts w:ascii="Arial" w:cs="Arial" w:eastAsia="Arial" w:hAnsi="Arial"/>
          <w:sz w:val="18"/>
          <w:szCs w:val="18"/>
          <w:color w:val="auto"/>
        </w:rPr>
      </w:pPr>
    </w:p>
    <w:p>
      <w:pPr>
        <w:ind w:left="1460" w:right="240" w:hanging="547"/>
        <w:spacing w:after="0" w:line="277" w:lineRule="auto"/>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and exercise of the warrants;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Each warrant will entitle the holder of the warrant to purchase at the exercise price set forth in the applicable prospectus supplement the number of shares of common stock, shares of preferred stock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54"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Until a holder exercises the warrants to purchase our shares of common stock, shares of preferred stock or debt securities, the holder will not have any rights as a holder of our shares of common stock, shares of preferred stock or debt securities, as the case may be, by virtue of ownership of warrants.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580" w:firstLine="913"/>
        <w:spacing w:after="0" w:line="264" w:lineRule="auto"/>
        <w:rPr>
          <w:sz w:val="20"/>
          <w:szCs w:val="20"/>
          <w:color w:val="auto"/>
        </w:rPr>
      </w:pPr>
      <w:r>
        <w:rPr>
          <w:rFonts w:ascii="Arial" w:cs="Arial" w:eastAsia="Arial" w:hAnsi="Arial"/>
          <w:sz w:val="18"/>
          <w:szCs w:val="18"/>
          <w:color w:val="auto"/>
        </w:rPr>
        <w:t>The following is a general description of the terms of debt securities we may issue from time to time unless we provide otherwise in the applicable prospectus supplement. Particular terms of any debt securities we offer will be described in the prospectus supplement relating to such debt securities.</w:t>
      </w:r>
    </w:p>
    <w:p>
      <w:pPr>
        <w:spacing w:after="0" w:line="181"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As required by U.S. federal law for all bonds and notes of companies that are publicly offered, any debt securities we issue will be governed by a document called an “indenture,” the form of which is filed as an exhibit to the registration statement of which this prospectus forms a part. We have summarized the general features of the debt securities to be governed by the indenture. The summary is not complete. An indenture is a contract between us and a financial institution acting as trustee on behalf of the holders of the debt securities, and is subject to and governed by the Trust Indenture Act of 1939, as amended. The trustee has two main roles. First, the trustee can enforce holders’ rights against us if we default. There are some limitations on the extent to which the trustee acts on holders’ behalf, described in the second paragraph under “Description of Debt Securities—Events of Default.” Second, the trustee performs certain administrative duties, such as sending interest and principal payments to holders.</w:t>
      </w:r>
    </w:p>
    <w:p>
      <w:pPr>
        <w:spacing w:after="0" w:line="178"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Because this section is a summary, it does not describe every aspect of any debt securities we may issue or the indenture governing any such debt securities. Particular terms of any debt securities we offer will be described in the prospectus supplement relating to such debt securities, and we urge you to read the applicable executed indenture, which will be filed with the SEC at the time of any offering of debt securities, because it, and not this description, will define the rights of holders of such debt securities.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prospectus supplement will describe the particular terms of any series of debt securities we may issue, including some or all of the following:</w:t>
      </w:r>
    </w:p>
    <w:p>
      <w:pPr>
        <w:spacing w:after="0" w:line="154" w:lineRule="exact"/>
        <w:rPr>
          <w:sz w:val="20"/>
          <w:szCs w:val="20"/>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1460" w:right="560" w:hanging="547"/>
        <w:spacing w:after="0" w:line="277"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the denominations in which the offered debt securities will be issued and whether the offering may be reopened for additional securities of that series and on what terms;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460" w:right="40" w:hanging="547"/>
        <w:spacing w:after="0" w:line="277"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1460" w:right="100" w:hanging="547"/>
        <w:spacing w:after="0" w:line="277"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amount of payments of principal, interest or premium, if any, on a series of debt securities will be determined with reference to an index, formula or other method and how these amounts will be determined;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place or places of payment, transfer, conversion and/or exchange of the debt securities;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events of default;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provisions for legal defeasance or covenant defeasance;</w:t>
      </w:r>
    </w:p>
    <w:p>
      <w:pPr>
        <w:spacing w:after="0" w:line="130" w:lineRule="exact"/>
        <w:rPr>
          <w:rFonts w:ascii="Arial" w:cs="Arial" w:eastAsia="Arial" w:hAnsi="Arial"/>
          <w:sz w:val="18"/>
          <w:szCs w:val="18"/>
          <w:color w:val="auto"/>
        </w:rPr>
      </w:pPr>
    </w:p>
    <w:p>
      <w:pPr>
        <w:ind w:left="1460" w:right="180" w:hanging="547"/>
        <w:spacing w:after="0" w:line="342" w:lineRule="auto"/>
        <w:tabs>
          <w:tab w:leader="none" w:pos="1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listing of the debt securities on any securities exchange;</w:t>
      </w:r>
    </w:p>
    <w:p>
      <w:pPr>
        <w:spacing w:after="0" w:line="130" w:lineRule="exact"/>
        <w:rPr>
          <w:rFonts w:ascii="Arial" w:cs="Arial" w:eastAsia="Arial" w:hAnsi="Arial"/>
          <w:sz w:val="18"/>
          <w:szCs w:val="18"/>
          <w:color w:val="auto"/>
        </w:rPr>
      </w:pPr>
    </w:p>
    <w:p>
      <w:pPr>
        <w:ind w:left="1460" w:right="740" w:hanging="547"/>
        <w:spacing w:after="0" w:line="277"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including those related to original issue discount, if applicable;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material terms.</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interest and premium, if any, will be paid by us in immediately available funds.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The indenture may provide that any debt securities proposed to be sold under this prospectus and the applicable prospectus supplement relating to such debt securities (“offered debt securities”) and any debt securities issuable upon conversion or exchange of other offered securities (“underlying debt securities”) may be issued under the indenture in one or more series.</w:t>
      </w:r>
    </w:p>
    <w:p>
      <w:pPr>
        <w:spacing w:after="0" w:line="181"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interest or premium, if any, on, debt securities will include additional amounts if required by the terms of the debt securities.</w:t>
      </w:r>
    </w:p>
    <w:p>
      <w:pPr>
        <w:spacing w:after="0" w:line="17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Debt securities issued under an indenture, when a single trustee is acting for all debt securities issued under the indenture, are called the “indenture securities.” The indenture may also provide that there may be more than one trustee thereunder, each with respect to one or more different series of securities issued thereunder. See “Description of Debt Securities—Resignation of Trustee” below. At a time when two or more trustees are acting under an indenture, each with respect to only certain series, the term “indenture securities” means the one or more series of debt securities with respect to which each respective trustee is acting. In the event that there is more than one trustee under an indenture, the powers and trust obligations of each trustee described in this prospectus will extend only to the one or more series of indenture securities for which it is trustee. If two or more trustees are acting under an indenture, then the indenture securities for which each trustee is acting would be treated as if issued under separate indentures.</w:t>
      </w:r>
    </w:p>
    <w:p>
      <w:pPr>
        <w:spacing w:after="0" w:line="16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We refer you to the applicable prospectus supplement relating to any debt securities we may issue from time to time for information with respect to any deletions from, modifications of or additions to the Events of Default or covenants that are described below, including any addition of a covenant or other provision providing event risk or similar protection, that will be applicable with respect to such debt securities.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related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approximately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340" w:firstLine="913"/>
        <w:spacing w:after="0" w:line="342" w:lineRule="auto"/>
        <w:rPr>
          <w:sz w:val="20"/>
          <w:szCs w:val="20"/>
          <w:color w:val="auto"/>
        </w:rPr>
      </w:pPr>
      <w:r>
        <w:rPr>
          <w:rFonts w:ascii="Arial" w:cs="Arial" w:eastAsia="Arial" w:hAnsi="Arial"/>
          <w:sz w:val="16"/>
          <w:szCs w:val="16"/>
          <w:color w:val="auto"/>
        </w:rPr>
        <w:t>Holders of debt securities of any series will have rights if an Event of Default occurs in respect of the debt securities of such series and is not cured, as described later in this subsection. The term “Event of Default” in respect of the debt securities of any series means any of the following:</w:t>
      </w:r>
    </w:p>
    <w:p>
      <w:pPr>
        <w:spacing w:after="0" w:line="29" w:lineRule="exact"/>
        <w:rPr>
          <w:sz w:val="20"/>
          <w:szCs w:val="20"/>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1460" w:right="460" w:hanging="547"/>
        <w:spacing w:after="0" w:line="277"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we do not cure this default within five days;</w:t>
      </w:r>
    </w:p>
    <w:p>
      <w:pPr>
        <w:spacing w:after="0" w:line="75" w:lineRule="exact"/>
        <w:rPr>
          <w:rFonts w:ascii="Arial" w:cs="Arial" w:eastAsia="Arial" w:hAnsi="Arial"/>
          <w:sz w:val="18"/>
          <w:szCs w:val="18"/>
          <w:color w:val="auto"/>
        </w:rPr>
      </w:pPr>
    </w:p>
    <w:p>
      <w:pPr>
        <w:ind w:left="1460" w:right="40" w:hanging="547"/>
        <w:spacing w:after="0" w:line="264"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90 days after we receive a written notice of default stating we are in breach. The notice must be sent by either the trustee or holders of at least 25% of the principal amount of debt securities of the series;</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Event of Default occurs in respect of debt securities of the series described in the prospectus supplement.</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117"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Except in cases of default, where the trustee has some special duties, the trustee typically is not required to take any action under an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w:t>
      </w:r>
    </w:p>
    <w:p>
      <w:pPr>
        <w:spacing w:after="0" w:line="188"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Before a holder is allowed to bypass the trustee and bring its own lawsuit or other formal legal action or take other steps to enforce its rights or protect its interests relating to any debt securities, the following must occur:</w:t>
      </w:r>
    </w:p>
    <w:p>
      <w:pPr>
        <w:spacing w:after="0" w:line="76" w:lineRule="exact"/>
        <w:rPr>
          <w:sz w:val="20"/>
          <w:szCs w:val="20"/>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1460" w:hanging="547"/>
        <w:spacing w:after="0" w:line="264"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However, a holder is entitled at any time to bring a lawsuit for the payment of money due on its debt securities on or after the due date. Each year, we will furnish to each trustee a written statement of certain of our officers certifying that to their knowledge we are in compliance with the indenture and the debt securities, or else specifying any default.</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Waiver of Default</w:t>
      </w:r>
    </w:p>
    <w:p>
      <w:pPr>
        <w:spacing w:after="0" w:line="11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such series of debt securities. If this happens, the default will be treated as if it had not occurred. No one can waive a payment default on a holder’s debt security, however, without the holder’s approval.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right="600" w:firstLine="913"/>
        <w:spacing w:after="0" w:line="342" w:lineRule="auto"/>
        <w:rPr>
          <w:sz w:val="20"/>
          <w:szCs w:val="20"/>
          <w:color w:val="auto"/>
        </w:rPr>
      </w:pPr>
      <w:r>
        <w:rPr>
          <w:rFonts w:ascii="Arial" w:cs="Arial" w:eastAsia="Arial" w:hAnsi="Arial"/>
          <w:sz w:val="16"/>
          <w:szCs w:val="16"/>
          <w:color w:val="auto"/>
        </w:rPr>
        <w:t>Under the terms of an indenture, we may be permitted to consolidate or merge with another entity. We may also be permitted to sell all or substantially all of our assets to another entity. However, typically we may not take any of these actions unless all the following conditions are met:</w:t>
      </w:r>
    </w:p>
    <w:p>
      <w:pPr>
        <w:spacing w:after="0" w:line="29" w:lineRule="exact"/>
        <w:rPr>
          <w:sz w:val="20"/>
          <w:szCs w:val="20"/>
          <w:color w:val="auto"/>
        </w:rPr>
      </w:pPr>
    </w:p>
    <w:p>
      <w:pPr>
        <w:ind w:left="1460" w:right="80" w:hanging="547"/>
        <w:spacing w:after="0" w:line="297" w:lineRule="auto"/>
        <w:tabs>
          <w:tab w:leader="none" w:pos="1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63" w:lineRule="exact"/>
        <w:rPr>
          <w:rFonts w:ascii="Arial" w:cs="Arial" w:eastAsia="Arial" w:hAnsi="Arial"/>
          <w:sz w:val="16"/>
          <w:szCs w:val="16"/>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There are three types of changes we may make to an indenture and the debt securities issued thereunder, as described below.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Changes Requiring Approval</w:t>
      </w:r>
    </w:p>
    <w:p>
      <w:pPr>
        <w:spacing w:after="0" w:line="11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First, there are changes that we cannot make to debt securities without specific approval of all of the holders. The following is a list of the types of changes that may require specific approval:</w:t>
      </w:r>
    </w:p>
    <w:p>
      <w:pPr>
        <w:spacing w:after="0" w:line="76" w:lineRule="exact"/>
        <w:rPr>
          <w:sz w:val="20"/>
          <w:szCs w:val="20"/>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rate of interest on a debt security;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any premium payable upon a change of control;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 the right of holders to sue for payment;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460" w:right="100" w:hanging="547"/>
        <w:spacing w:after="0" w:line="277"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The second type of change does not require any vote by the holders of the debt securities. This type is limited to clarifications and certain other changes that would not adversely affect holders of the outstanding debt securities in any material respect, including the addition of covenants and guarantees. We also do not need any approval to make any change that affects only debt securities to be issued under the indenture after the change takes effect.</w:t>
      </w: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other change to the indenture and the debt securities may require the following approval:</w:t>
      </w:r>
    </w:p>
    <w:p>
      <w:pPr>
        <w:spacing w:after="0" w:line="131" w:lineRule="exact"/>
        <w:rPr>
          <w:sz w:val="20"/>
          <w:szCs w:val="20"/>
          <w:color w:val="auto"/>
        </w:rPr>
      </w:pPr>
    </w:p>
    <w:p>
      <w:pPr>
        <w:ind w:left="1460" w:right="80" w:hanging="547"/>
        <w:spacing w:after="0" w:line="277"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change affects only one series of debt securities, it must be approved by the holders of a majority in principal amount of that series; and</w:t>
      </w:r>
    </w:p>
    <w:p>
      <w:pPr>
        <w:spacing w:after="0" w:line="75" w:lineRule="exact"/>
        <w:rPr>
          <w:rFonts w:ascii="Arial" w:cs="Arial" w:eastAsia="Arial" w:hAnsi="Arial"/>
          <w:sz w:val="18"/>
          <w:szCs w:val="18"/>
          <w:color w:val="auto"/>
        </w:rPr>
      </w:pPr>
    </w:p>
    <w:p>
      <w:pPr>
        <w:ind w:left="1460" w:right="440" w:hanging="547"/>
        <w:spacing w:after="0" w:line="264"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8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obligations with respect to some of our covenants in that indenture. However, we cannot obtain a waiver of a payment default or of any of the matters covered by the bullet points included above under “Description of Debt Securities—Modification or Waiver—Changes Requiring Approval.”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Further Details Concerning Voting</w:t>
      </w:r>
    </w:p>
    <w:p>
      <w:pPr>
        <w:spacing w:after="0" w:line="117"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When taking a vote on proposed changes to the indenture and the debt securities, we expect to use the following rules to decide how much principal to attribute to a debt security:</w:t>
      </w:r>
    </w:p>
    <w:p>
      <w:pPr>
        <w:spacing w:after="0" w:line="76" w:lineRule="exact"/>
        <w:rPr>
          <w:sz w:val="20"/>
          <w:szCs w:val="20"/>
          <w:color w:val="auto"/>
        </w:rPr>
      </w:pPr>
    </w:p>
    <w:p>
      <w:pPr>
        <w:ind w:left="1460" w:right="40" w:hanging="547"/>
        <w:spacing w:after="0" w:line="277"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related prospectus supplement;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Debt Securities—Defeasance—Legal Defeasance.”</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generally will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11 months following the record date.</w:t>
      </w:r>
    </w:p>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Book-entry and other indirect holders will need to consult their banks or brokers for information on how approval may be granted or denied if we seek to change the indenture or the debt securities or request a waiver.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legal defeasance will not be applicable to that series.</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17"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We can make the deposit described below and be released from some of the restrictive covenants in the indenture under which the particular series was issued. This is called “covenant defeasance.” In that event, the holders would lose the protection of those restrictive covenants but would gain the protection of having money and government securities set aside in trust to repay holders’ debt securities. If applicable, a holder also would be released from the subordination provisions described under “Description of Debt Securities—Indenture Provisions—Subordination” below. In order to achieve covenant defeasance, we must do the following:</w:t>
      </w:r>
    </w:p>
    <w:p>
      <w:pPr>
        <w:spacing w:after="0" w:line="94" w:lineRule="exact"/>
        <w:rPr>
          <w:sz w:val="20"/>
          <w:szCs w:val="20"/>
          <w:color w:val="auto"/>
        </w:rPr>
      </w:pPr>
    </w:p>
    <w:p>
      <w:pPr>
        <w:ind w:left="1460" w:hanging="547"/>
        <w:spacing w:after="0" w:line="286" w:lineRule="auto"/>
        <w:tabs>
          <w:tab w:leader="none" w:pos="1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460" w:right="40" w:hanging="547"/>
        <w:spacing w:after="0" w:line="264"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the holders to be taxed on the debt securities any differently than if we did not make the deposit and just repaid the debt securities ourselves at maturity; and</w:t>
      </w:r>
    </w:p>
    <w:p>
      <w:pPr>
        <w:spacing w:after="0" w:line="86" w:lineRule="exact"/>
        <w:rPr>
          <w:rFonts w:ascii="Arial" w:cs="Arial" w:eastAsia="Arial" w:hAnsi="Arial"/>
          <w:sz w:val="18"/>
          <w:szCs w:val="18"/>
          <w:color w:val="auto"/>
        </w:rPr>
      </w:pPr>
    </w:p>
    <w:p>
      <w:pPr>
        <w:ind w:left="1460" w:right="340" w:hanging="547"/>
        <w:spacing w:after="0" w:line="277"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must deliver to the trustee certain documentation stating that all conditions precedent to covenant defeasance have been complied with.</w:t>
      </w:r>
    </w:p>
    <w:p>
      <w:pPr>
        <w:spacing w:after="0" w:line="17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If we accomplish covenant defeasance, holders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holders may not be able to obtain payment of the shortfall.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Legal Defeasance</w:t>
      </w:r>
    </w:p>
    <w:p>
      <w:pPr>
        <w:spacing w:after="0" w:line="117" w:lineRule="exact"/>
        <w:rPr>
          <w:sz w:val="20"/>
          <w:szCs w:val="20"/>
          <w:color w:val="auto"/>
        </w:rPr>
      </w:pPr>
    </w:p>
    <w:p>
      <w:pPr>
        <w:jc w:val="both"/>
        <w:ind w:right="160" w:firstLine="913"/>
        <w:spacing w:after="0" w:line="286" w:lineRule="auto"/>
        <w:rPr>
          <w:sz w:val="20"/>
          <w:szCs w:val="20"/>
          <w:color w:val="auto"/>
        </w:rPr>
      </w:pPr>
      <w:r>
        <w:rPr>
          <w:rFonts w:ascii="Arial" w:cs="Arial" w:eastAsia="Arial" w:hAnsi="Arial"/>
          <w:sz w:val="17"/>
          <w:szCs w:val="17"/>
          <w:color w:val="auto"/>
        </w:rPr>
        <w:t>As described below, we can legally release ourselves from all payment and other obligations on the debt securities of a particular series (called “legal defeasance”), (1) if there is a change in U.S. federal tax law that allows us to effect the release without causing the holders to be taxed any differently than if the release had not occurred, and (2) if we put in place the following other arrangements for holders to be repaid:</w:t>
      </w:r>
    </w:p>
    <w:p>
      <w:pPr>
        <w:spacing w:after="0" w:line="71" w:lineRule="exact"/>
        <w:rPr>
          <w:sz w:val="20"/>
          <w:szCs w:val="20"/>
          <w:color w:val="auto"/>
        </w:rPr>
      </w:pPr>
    </w:p>
    <w:p>
      <w:pPr>
        <w:ind w:left="1460" w:hanging="547"/>
        <w:spacing w:after="0" w:line="286" w:lineRule="auto"/>
        <w:tabs>
          <w:tab w:leader="none" w:pos="1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460" w:right="40" w:hanging="547"/>
        <w:spacing w:after="0" w:line="273" w:lineRule="auto"/>
        <w:tabs>
          <w:tab w:leader="none" w:pos="1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be required to deliver to the trustee a legal opinion confirming that there has been a change in current U.S. federal tax law or an Internal Revenue Service ruling that allows us to make the above deposit without causing the holders to be taxed on the debt securities any differently than if we did not make the deposit and just repaid the debt securities ourselves at maturity. Under current U.S. federal tax law, the deposit and our legal release from the debt securities would be treated as though we paid each holder its share of the cash and notes or bonds at the time the cash and notes or bonds were deposited in trust in exchange for its debt securities and holders would recognize gain or loss on the debt securities at the time of the deposit; and</w:t>
      </w:r>
    </w:p>
    <w:p>
      <w:pPr>
        <w:spacing w:after="0" w:line="83" w:lineRule="exact"/>
        <w:rPr>
          <w:rFonts w:ascii="Arial" w:cs="Arial" w:eastAsia="Arial" w:hAnsi="Arial"/>
          <w:sz w:val="17"/>
          <w:szCs w:val="17"/>
          <w:color w:val="auto"/>
        </w:rPr>
      </w:pPr>
    </w:p>
    <w:p>
      <w:pPr>
        <w:ind w:left="1460" w:right="160" w:hanging="547"/>
        <w:spacing w:after="0" w:line="277"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legal defeasance have been complied with.</w:t>
      </w:r>
    </w:p>
    <w:p>
      <w:pPr>
        <w:spacing w:after="0" w:line="170"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If we ever did accomplish legal defeasance, as described above, holders would have to rely solely on the trust deposit for repayment of the debt securities. Holders could not look to us for repayment in the unlikely event of any shortfall. Conversely, the trust deposit would most likely be protected from claims of our lenders and other creditors if we ever became bankrupt or insolvent. If applicable, holders would also be released from the subordination provisions described later under “Description of Debt Securities—Indenture Provisions—Subordination.”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such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on any indenture securities denominated as subordinated debt securities is to be subordinated to the extent provided in the indenture in right of payment to the prior payment in full of all Senior Indebtedness (defined below), but our obligation to holders to make payment of the principal of (and premium, if any) and interest on such subordinated debt securities will not otherwise be affected. In addition, no payment on account of principal (or premium, if any), interest or sinking fund, if any, may be made on such subordinated debt securities at any time unless full payment of all amounts due in respect of the principal (and premium, if any), interest and sinking fund, if any, on Senior Indebtedness has been made or duly provided for in money or money’s worth.</w:t>
      </w:r>
    </w:p>
    <w:p>
      <w:pPr>
        <w:spacing w:after="0" w:line="189" w:lineRule="exact"/>
        <w:rPr>
          <w:sz w:val="20"/>
          <w:szCs w:val="20"/>
          <w:color w:val="auto"/>
        </w:rPr>
      </w:pPr>
    </w:p>
    <w:p>
      <w:pPr>
        <w:ind w:right="200" w:firstLine="913"/>
        <w:spacing w:after="0" w:line="293" w:lineRule="auto"/>
        <w:rPr>
          <w:sz w:val="20"/>
          <w:szCs w:val="20"/>
          <w:color w:val="auto"/>
        </w:rPr>
      </w:pPr>
      <w:r>
        <w:rPr>
          <w:rFonts w:ascii="Arial" w:cs="Arial" w:eastAsia="Arial" w:hAnsi="Arial"/>
          <w:sz w:val="16"/>
          <w:szCs w:val="16"/>
          <w:color w:val="auto"/>
        </w:rPr>
        <w:t>In the event that, notwithstanding the foregoing, any payment from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6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related indenture will provide that these subordination provisions will not apply to money and securities held in trust under the defeasance provisions of the indenture.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“Senior Indebtedness” will be defined in an applicable indenture as the principal of (and premium, if any) and unpaid interest on:</w:t>
      </w:r>
    </w:p>
    <w:p>
      <w:pPr>
        <w:spacing w:after="0" w:line="131" w:lineRule="exact"/>
        <w:rPr>
          <w:sz w:val="20"/>
          <w:szCs w:val="20"/>
          <w:color w:val="auto"/>
        </w:rPr>
      </w:pPr>
    </w:p>
    <w:p>
      <w:pPr>
        <w:ind w:left="1460" w:right="100" w:hanging="547"/>
        <w:spacing w:after="0" w:line="279" w:lineRule="auto"/>
        <w:tabs>
          <w:tab w:leader="none" w:pos="1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6" w:lineRule="exact"/>
        <w:rPr>
          <w:rFonts w:ascii="Arial" w:cs="Arial" w:eastAsia="Arial" w:hAnsi="Arial"/>
          <w:sz w:val="17"/>
          <w:szCs w:val="17"/>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such indebtedness.</w:t>
      </w:r>
    </w:p>
    <w:p>
      <w:pPr>
        <w:spacing w:after="0" w:line="225"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The prospectus supplement accompanying any series of indenture securities denominated as subordinated debt securities will set forth the approximate amount of our Senior Indebtedness outstanding as of a recent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intend to name the indenture trustee for each series of indenture securities in the related prospectus supplement.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right="140" w:firstLine="913"/>
        <w:spacing w:after="0" w:line="312"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w:t>
      </w: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RIGHTS</w:t>
      </w:r>
    </w:p>
    <w:p>
      <w:pPr>
        <w:spacing w:after="0" w:line="229"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The following is a general description of the terms of the rights we may issue from time to time unless we provide otherwise in the applicable prospectus supplement. Particular terms of any rights we offer will be described in the prospectus supplement relating to such rights.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We may issue rights to purchase common stock, preferred stock, debt securities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applicable prospectus supplement will describe the following terms of any rights we may issue, including some or all of the following:</w:t>
      </w:r>
    </w:p>
    <w:p>
      <w:pPr>
        <w:spacing w:after="0" w:line="142" w:lineRule="exact"/>
        <w:rPr>
          <w:sz w:val="20"/>
          <w:szCs w:val="20"/>
          <w:color w:val="auto"/>
        </w:rPr>
      </w:pPr>
    </w:p>
    <w:p>
      <w:pPr>
        <w:ind w:left="1460" w:hanging="547"/>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title and aggregate number of the rights;</w:t>
      </w:r>
    </w:p>
    <w:p>
      <w:pPr>
        <w:spacing w:after="0" w:line="130"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subscription price or a formula for the determination of the subscription price for the rights and the currency or currencies in which the subscription price may be payable;</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rights are issued and the number of rights issued with each such security or each principal amount of such security;</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the rights issued to each stockholder;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the case of rights to purchase debt securities, the principal amount of debt securities purchasable upon exercise of one right;</w:t>
      </w:r>
    </w:p>
    <w:p>
      <w:pPr>
        <w:spacing w:after="0" w:line="1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420" w:hanging="547"/>
        <w:spacing w:after="0" w:line="277" w:lineRule="auto"/>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rights to purchase common stock or preferred stock, the type of stock and number of shares of stock purchasable upon exercise of one right;</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date on which the right to exercise the rights will commence, and the date on which the rights will expire (subject to any extension);</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rights that may be exercised at any one time;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to which such rights include an over-subscription privilege with respect to unsubscribed securities;</w:t>
      </w:r>
    </w:p>
    <w:p>
      <w:pPr>
        <w:spacing w:after="0" w:line="130" w:lineRule="exact"/>
        <w:rPr>
          <w:rFonts w:ascii="Arial" w:cs="Arial" w:eastAsia="Arial" w:hAnsi="Arial"/>
          <w:sz w:val="18"/>
          <w:szCs w:val="18"/>
          <w:color w:val="auto"/>
        </w:rPr>
      </w:pPr>
    </w:p>
    <w:p>
      <w:pPr>
        <w:ind w:left="1460" w:right="220" w:hanging="547"/>
        <w:spacing w:after="0" w:line="264" w:lineRule="auto"/>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on the rights of any merger, consolidation, sale or other disposition of our business;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of any rights to redeem or call the rights;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rights;</w:t>
      </w:r>
    </w:p>
    <w:p>
      <w:pPr>
        <w:spacing w:after="0" w:line="130" w:lineRule="exact"/>
        <w:rPr>
          <w:rFonts w:ascii="Arial" w:cs="Arial" w:eastAsia="Arial" w:hAnsi="Arial"/>
          <w:sz w:val="18"/>
          <w:szCs w:val="18"/>
          <w:color w:val="auto"/>
        </w:rPr>
      </w:pPr>
    </w:p>
    <w:p>
      <w:pPr>
        <w:ind w:left="1460" w:right="760" w:hanging="547"/>
        <w:spacing w:after="0" w:line="277" w:lineRule="auto"/>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backstop or other purchase arrangement that we may enter into in connection with the rights offering;</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exchange and exercise of the rights.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Rights</w:t>
      </w:r>
    </w:p>
    <w:p>
      <w:pPr>
        <w:spacing w:after="0" w:line="12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spacing w:after="0" w:line="188"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spacing w:after="0" w:line="154"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spacing w:after="0" w:line="181"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 or, in the case of rights to purchase debt securities, the right to receive principal, premium, if any, or interest payments, on the debt securities purchasable upon exercise or to enforce covenants in the applicable indenture.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right="480" w:firstLine="913"/>
        <w:spacing w:after="0" w:line="312" w:lineRule="auto"/>
        <w:rPr>
          <w:sz w:val="20"/>
          <w:szCs w:val="20"/>
          <w:color w:val="auto"/>
        </w:rPr>
      </w:pPr>
      <w:r>
        <w:rPr>
          <w:rFonts w:ascii="Arial" w:cs="Arial" w:eastAsia="Arial" w:hAnsi="Arial"/>
          <w:sz w:val="16"/>
          <w:szCs w:val="16"/>
          <w:color w:val="auto"/>
        </w:rPr>
        <w:t>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4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spacing w:after="0" w:line="193"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76" w:lineRule="exact"/>
        <w:rPr>
          <w:sz w:val="20"/>
          <w:szCs w:val="20"/>
          <w:color w:val="auto"/>
        </w:rPr>
      </w:pPr>
    </w:p>
    <w:p>
      <w:pPr>
        <w:ind w:left="1460" w:right="400" w:hanging="547"/>
        <w:spacing w:after="0" w:line="277" w:lineRule="auto"/>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provision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The following table sets forth the identity of each of the selling stockholders, the number of shares of our common stock and the percentage of shares of our common stock beneficially owned by each of the selling stockholders prior to this offering, the number of shares that may be offered under this prospectus by each of the selling stockholders, and the number of shares of our common stock and the percentage of our common stock to be beneficially owned by each of the selling stockholders after completion of this offering, assuming that all shares offered hereunder are sold as contemplated herein. The number of shares in the column “Maximum number of shares that may be offered” represents all of the shares that each of the selling stockholders may offer under this prospectus.</w:t>
      </w:r>
    </w:p>
    <w:p>
      <w:pPr>
        <w:spacing w:after="0" w:line="19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Beneficial ownership is determined in accordance with SEC rules. The information is not necessarily indicative of beneficial ownership for any other purpose. In general, under these rules a beneficial owner of a security includes any person who, directly or indirectly, through any contract, arrangement, understanding, relationship or otherwise has or shares voting power or investment power with respect to such security. A person is also deemed to be a beneficial owner of a security if that person has the right to acquire beneficial ownership of such security within 60 days. To our knowledge, except as otherwise indicated, and subject to applicable community property laws, the persons named in the table have sole voting and investment power with respect to all shares of common stock beneficially owned by that person.</w:t>
      </w:r>
    </w:p>
    <w:p>
      <w:pPr>
        <w:spacing w:after="0" w:line="19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For purposes of the table below, the beneficial ownership amounts and percentages are based on a total of 26,479,629 shares of our common stock outstanding as of December 15, 2016. Shares of our common stock that a person has the right to acquire within 60 days of the date of this prospectus are deemed outstanding for purposes of computing the percentage ownership of such person’s holdings, but are not deemed outstanding for purposes of computing the percentage ownership of any other person.</w:t>
      </w:r>
    </w:p>
    <w:p>
      <w:pPr>
        <w:spacing w:after="0" w:line="187"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We do not know when or in what amounts the selling stockholders may sell or otherwise dispose of the shares covered hereby. The selling stockholders might not sell any or all of the shares covered by this prospectus or may sell or dispose of some or all of their shares in transactions exempt from the registration requirements of the Securities Act, or in the open market after the date on which they provided the information set forth in the table below. Because the selling stockholders may not sell or otherwise dispose of some or all of the shares covered by this prospectus and because there are currently no agreements, arrangements or understandings with respect to the sale or other disposition of any of the shares, we cannot estimate the number of the shares that will be held by the selling stockholders after completion of a potential offering. For purposes of the table below, we have assumed that the selling stockholders will have sold all of the shares covered by this prospectus upon completion of the applicable offering.</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Information about additional selling stockholders, if any, including their identities and the common stock to be registered on their behalf, may be set forth in a prospectus supplement, in a post-effective amendment or in filings that we make with the SEC under the Exchange Act, which are incorporated by reference in this prospectus. Information concerning the selling stockholders may change from time to time. Any changes to the information provided below will be set forth in a supplement to this prospectus, in a post-effective amendment or in filings we make with the SEC under the Exchange Act, which are incorporated by reference into this prospectus, if and when necessary. The address of each beneficial owner listed in the table below is 1701 Pennsylvania Ave., NW, Suite 900, Washington, DC 20006.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Common stock beneficially owned</w:t>
            </w: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20" w:type="dxa"/>
            <w:vAlign w:val="bottom"/>
          </w:tcPr>
          <w:p>
            <w:pPr>
              <w:spacing w:after="0"/>
              <w:rPr>
                <w:sz w:val="10"/>
                <w:szCs w:val="10"/>
                <w:color w:val="auto"/>
              </w:rPr>
            </w:pPr>
          </w:p>
        </w:tc>
        <w:tc>
          <w:tcPr>
            <w:tcW w:w="2500" w:type="dxa"/>
            <w:vAlign w:val="bottom"/>
            <w:gridSpan w:val="4"/>
            <w:vMerge w:val="restart"/>
          </w:tcPr>
          <w:p>
            <w:pPr>
              <w:jc w:val="center"/>
              <w:ind w:right="540"/>
              <w:spacing w:after="0"/>
              <w:rPr>
                <w:sz w:val="20"/>
                <w:szCs w:val="20"/>
                <w:color w:val="auto"/>
              </w:rPr>
            </w:pPr>
            <w:r>
              <w:rPr>
                <w:rFonts w:ascii="Arial" w:cs="Arial" w:eastAsia="Arial" w:hAnsi="Arial"/>
                <w:sz w:val="14"/>
                <w:szCs w:val="14"/>
                <w:b w:val="1"/>
                <w:bCs w:val="1"/>
                <w:color w:val="auto"/>
                <w:w w:val="91"/>
              </w:rPr>
              <w:t>Shares beneficially</w:t>
            </w:r>
          </w:p>
        </w:tc>
        <w:tc>
          <w:tcPr>
            <w:tcW w:w="124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Maximum</w:t>
            </w:r>
          </w:p>
        </w:tc>
        <w:tc>
          <w:tcPr>
            <w:tcW w:w="186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89"/>
              </w:rPr>
              <w:t>Shares beneficially</w:t>
            </w:r>
          </w:p>
        </w:tc>
        <w:tc>
          <w:tcPr>
            <w:tcW w:w="0" w:type="dxa"/>
            <w:vAlign w:val="bottom"/>
          </w:tcPr>
          <w:p>
            <w:pPr>
              <w:spacing w:after="0"/>
              <w:rPr>
                <w:sz w:val="1"/>
                <w:szCs w:val="1"/>
                <w:color w:val="auto"/>
              </w:rPr>
            </w:pPr>
          </w:p>
        </w:tc>
      </w:tr>
      <w:tr>
        <w:trPr>
          <w:trHeight w:val="95"/>
        </w:trPr>
        <w:tc>
          <w:tcPr>
            <w:tcW w:w="5820" w:type="dxa"/>
            <w:vAlign w:val="bottom"/>
          </w:tcPr>
          <w:p>
            <w:pPr>
              <w:spacing w:after="0"/>
              <w:rPr>
                <w:sz w:val="8"/>
                <w:szCs w:val="8"/>
                <w:color w:val="auto"/>
              </w:rPr>
            </w:pPr>
          </w:p>
        </w:tc>
        <w:tc>
          <w:tcPr>
            <w:tcW w:w="2500" w:type="dxa"/>
            <w:vAlign w:val="bottom"/>
            <w:gridSpan w:val="4"/>
            <w:vMerge w:val="continue"/>
          </w:tcPr>
          <w:p>
            <w:pPr>
              <w:spacing w:after="0"/>
              <w:rPr>
                <w:sz w:val="8"/>
                <w:szCs w:val="8"/>
                <w:color w:val="auto"/>
              </w:rPr>
            </w:pPr>
          </w:p>
        </w:tc>
        <w:tc>
          <w:tcPr>
            <w:tcW w:w="1240" w:type="dxa"/>
            <w:vAlign w:val="bottom"/>
            <w:gridSpan w:val="2"/>
            <w:vMerge w:val="restart"/>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number of</w:t>
            </w:r>
          </w:p>
        </w:tc>
        <w:tc>
          <w:tcPr>
            <w:tcW w:w="18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2500" w:type="dxa"/>
            <w:vAlign w:val="bottom"/>
            <w:gridSpan w:val="4"/>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owned prior to this</w:t>
            </w:r>
          </w:p>
        </w:tc>
        <w:tc>
          <w:tcPr>
            <w:tcW w:w="1240" w:type="dxa"/>
            <w:vAlign w:val="bottom"/>
            <w:gridSpan w:val="2"/>
            <w:vMerge w:val="continue"/>
          </w:tcPr>
          <w:p>
            <w:pPr>
              <w:spacing w:after="0"/>
              <w:rPr>
                <w:sz w:val="4"/>
                <w:szCs w:val="4"/>
                <w:color w:val="auto"/>
              </w:rPr>
            </w:pPr>
          </w:p>
        </w:tc>
        <w:tc>
          <w:tcPr>
            <w:tcW w:w="1860" w:type="dxa"/>
            <w:vAlign w:val="bottom"/>
            <w:gridSpan w:val="4"/>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owned after this</w:t>
            </w:r>
          </w:p>
        </w:tc>
        <w:tc>
          <w:tcPr>
            <w:tcW w:w="0" w:type="dxa"/>
            <w:vAlign w:val="bottom"/>
          </w:tcPr>
          <w:p>
            <w:pPr>
              <w:spacing w:after="0"/>
              <w:rPr>
                <w:sz w:val="1"/>
                <w:szCs w:val="1"/>
                <w:color w:val="auto"/>
              </w:rPr>
            </w:pPr>
          </w:p>
        </w:tc>
      </w:tr>
      <w:tr>
        <w:trPr>
          <w:trHeight w:val="95"/>
        </w:trPr>
        <w:tc>
          <w:tcPr>
            <w:tcW w:w="5820" w:type="dxa"/>
            <w:vAlign w:val="bottom"/>
          </w:tcPr>
          <w:p>
            <w:pPr>
              <w:spacing w:after="0"/>
              <w:rPr>
                <w:sz w:val="8"/>
                <w:szCs w:val="8"/>
                <w:color w:val="auto"/>
              </w:rPr>
            </w:pPr>
          </w:p>
        </w:tc>
        <w:tc>
          <w:tcPr>
            <w:tcW w:w="2500" w:type="dxa"/>
            <w:vAlign w:val="bottom"/>
            <w:gridSpan w:val="4"/>
            <w:vMerge w:val="continue"/>
          </w:tcPr>
          <w:p>
            <w:pPr>
              <w:spacing w:after="0"/>
              <w:rPr>
                <w:sz w:val="8"/>
                <w:szCs w:val="8"/>
                <w:color w:val="auto"/>
              </w:rPr>
            </w:pPr>
          </w:p>
        </w:tc>
        <w:tc>
          <w:tcPr>
            <w:tcW w:w="1240" w:type="dxa"/>
            <w:vAlign w:val="bottom"/>
            <w:gridSpan w:val="2"/>
            <w:vMerge w:val="restart"/>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shares that</w:t>
            </w:r>
          </w:p>
        </w:tc>
        <w:tc>
          <w:tcPr>
            <w:tcW w:w="18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1260" w:type="dxa"/>
            <w:vAlign w:val="bottom"/>
            <w:gridSpan w:val="2"/>
            <w:vMerge w:val="restart"/>
          </w:tcPr>
          <w:p>
            <w:pPr>
              <w:jc w:val="center"/>
              <w:ind w:left="620"/>
              <w:spacing w:after="0" w:line="151" w:lineRule="exact"/>
              <w:rPr>
                <w:sz w:val="20"/>
                <w:szCs w:val="20"/>
                <w:color w:val="auto"/>
              </w:rPr>
            </w:pPr>
            <w:r>
              <w:rPr>
                <w:rFonts w:ascii="Arial" w:cs="Arial" w:eastAsia="Arial" w:hAnsi="Arial"/>
                <w:sz w:val="14"/>
                <w:szCs w:val="14"/>
                <w:b w:val="1"/>
                <w:bCs w:val="1"/>
                <w:color w:val="auto"/>
                <w:w w:val="92"/>
              </w:rPr>
              <w:t>offering</w:t>
            </w: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1120" w:type="dxa"/>
            <w:vAlign w:val="bottom"/>
            <w:gridSpan w:val="2"/>
            <w:vMerge w:val="restart"/>
          </w:tcPr>
          <w:p>
            <w:pPr>
              <w:jc w:val="center"/>
              <w:ind w:right="459"/>
              <w:spacing w:after="0" w:line="151" w:lineRule="exact"/>
              <w:rPr>
                <w:sz w:val="20"/>
                <w:szCs w:val="20"/>
                <w:color w:val="auto"/>
              </w:rPr>
            </w:pPr>
            <w:r>
              <w:rPr>
                <w:rFonts w:ascii="Arial" w:cs="Arial" w:eastAsia="Arial" w:hAnsi="Arial"/>
                <w:sz w:val="14"/>
                <w:szCs w:val="14"/>
                <w:b w:val="1"/>
                <w:bCs w:val="1"/>
                <w:color w:val="auto"/>
                <w:w w:val="95"/>
              </w:rPr>
              <w:t>offering</w:t>
            </w: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5820" w:type="dxa"/>
            <w:vAlign w:val="bottom"/>
          </w:tcPr>
          <w:p>
            <w:pPr>
              <w:spacing w:after="0"/>
              <w:rPr>
                <w:sz w:val="10"/>
                <w:szCs w:val="10"/>
                <w:color w:val="auto"/>
              </w:rPr>
            </w:pPr>
          </w:p>
        </w:tc>
        <w:tc>
          <w:tcPr>
            <w:tcW w:w="1260" w:type="dxa"/>
            <w:vAlign w:val="bottom"/>
            <w:tcBorders>
              <w:bottom w:val="single" w:sz="8" w:color="auto"/>
            </w:tcBorders>
            <w:gridSpan w:val="2"/>
            <w:vMerge w:val="continue"/>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240" w:type="dxa"/>
            <w:vAlign w:val="bottom"/>
            <w:gridSpan w:val="2"/>
          </w:tcPr>
          <w:p>
            <w:pPr>
              <w:jc w:val="center"/>
              <w:ind w:right="480"/>
              <w:spacing w:after="0" w:line="118" w:lineRule="exact"/>
              <w:rPr>
                <w:sz w:val="20"/>
                <w:szCs w:val="20"/>
                <w:color w:val="auto"/>
              </w:rPr>
            </w:pPr>
            <w:r>
              <w:rPr>
                <w:rFonts w:ascii="Arial" w:cs="Arial" w:eastAsia="Arial" w:hAnsi="Arial"/>
                <w:sz w:val="13"/>
                <w:szCs w:val="13"/>
                <w:b w:val="1"/>
                <w:bCs w:val="1"/>
                <w:color w:val="auto"/>
                <w:w w:val="98"/>
              </w:rPr>
              <w:t>may be</w:t>
            </w:r>
          </w:p>
        </w:tc>
        <w:tc>
          <w:tcPr>
            <w:tcW w:w="5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82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w w:val="87"/>
              </w:rPr>
              <w:t>Percentage</w:t>
            </w:r>
          </w:p>
        </w:tc>
        <w:tc>
          <w:tcPr>
            <w:tcW w:w="5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offered</w:t>
            </w:r>
          </w:p>
        </w:tc>
        <w:tc>
          <w:tcPr>
            <w:tcW w:w="46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4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FoxKiser Holdings, LLC(1)</w:t>
            </w:r>
          </w:p>
        </w:tc>
        <w:tc>
          <w:tcPr>
            <w:tcW w:w="8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443,700</w:t>
            </w:r>
          </w:p>
        </w:tc>
        <w:tc>
          <w:tcPr>
            <w:tcW w:w="46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443,700</w:t>
            </w:r>
          </w:p>
        </w:tc>
        <w:tc>
          <w:tcPr>
            <w:tcW w:w="460" w:type="dxa"/>
            <w:vAlign w:val="bottom"/>
            <w:vMerge w:val="continue"/>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w w:val="79"/>
              </w:rPr>
              <w:t>0</w:t>
            </w:r>
          </w:p>
        </w:tc>
        <w:tc>
          <w:tcPr>
            <w:tcW w:w="42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Entities Affiliated with Allan M. Fox(2)</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2,777,348</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10.49%</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2,777,348</w:t>
            </w:r>
          </w:p>
        </w:tc>
        <w:tc>
          <w:tcPr>
            <w:tcW w:w="460" w:type="dxa"/>
            <w:vAlign w:val="bottom"/>
          </w:tcPr>
          <w:p>
            <w:pPr>
              <w:spacing w:after="0"/>
              <w:rPr>
                <w:sz w:val="18"/>
                <w:szCs w:val="18"/>
                <w:color w:val="auto"/>
              </w:rPr>
            </w:pPr>
          </w:p>
        </w:tc>
        <w:tc>
          <w:tcPr>
            <w:tcW w:w="540" w:type="dxa"/>
            <w:vAlign w:val="bottom"/>
          </w:tcPr>
          <w:p>
            <w:pPr>
              <w:ind w:left="420"/>
              <w:spacing w:after="0"/>
              <w:rPr>
                <w:sz w:val="20"/>
                <w:szCs w:val="20"/>
                <w:color w:val="auto"/>
              </w:rPr>
            </w:pPr>
            <w:r>
              <w:rPr>
                <w:rFonts w:ascii="Arial" w:cs="Arial" w:eastAsia="Arial" w:hAnsi="Arial"/>
                <w:sz w:val="18"/>
                <w:szCs w:val="18"/>
                <w:color w:val="auto"/>
                <w:w w:val="79"/>
              </w:rPr>
              <w:t>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John Daniel Kiser(3)</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1,836,410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1,836,410</w:t>
            </w:r>
          </w:p>
        </w:tc>
        <w:tc>
          <w:tcPr>
            <w:tcW w:w="4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w w:val="79"/>
              </w:rPr>
              <w:t>0</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ind w:left="460" w:right="60" w:hanging="452"/>
        <w:spacing w:after="0" w:line="281"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Allan M. Fox holds shared dispositive power over the shares held by FoxKiser Holdings, LLC (Holdings) with John Daniel Kiser, with Mr. Fox having a 60% voting interest in Holdings. Mr. Fox is a member of our board of directors and Mr. Kiser is a former member of our board of directors.</w:t>
      </w:r>
    </w:p>
    <w:p>
      <w:pPr>
        <w:spacing w:after="0" w:line="1"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Entities include The Allan M. Fox Trust (U/A/D April 21, 2015) (the Fox Trust) and The Allan M. Fox Revocable Trust (the Fox Revocable Trust). Mr. Kiser is the trustee of the Fox Trust and holds sole dispositive voting power over such trust. Mr. Fox holds sole dispositive power over the shares held by the Fox Revocable Trust.</w:t>
      </w:r>
    </w:p>
    <w:p>
      <w:pPr>
        <w:spacing w:after="0" w:line="1" w:lineRule="exact"/>
        <w:rPr>
          <w:rFonts w:ascii="Arial" w:cs="Arial" w:eastAsia="Arial" w:hAnsi="Arial"/>
          <w:sz w:val="18"/>
          <w:szCs w:val="18"/>
          <w:color w:val="auto"/>
        </w:rPr>
      </w:pPr>
    </w:p>
    <w:p>
      <w:pPr>
        <w:ind w:left="460" w:right="80" w:hanging="452"/>
        <w:spacing w:after="0" w:line="25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Entities include The Kiser 2012 Gift Trust (the Kiser Gift Trust) and the John Daniel Kiser Revocable Trust U/A/D July 27, 2011 (the Kiser Revocable Trust). Mr. Kiser holds shared dispositive power over the shares held by Holdings, with Mr. Kiser having a 40% voting interest in Holdings. Mr. Fox is the trustee of the Kiser Gift Trust and holds sole dispositive voting power over such trust. Mr. Kiser holds sole dispositive power over the shares held by the Kiser Revocable Trust.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 or the selling stockholders may sell the securities offered by this prospectus in any one or more of the following ways from time to time:</w:t>
      </w:r>
    </w:p>
    <w:p>
      <w:pPr>
        <w:spacing w:after="0" w:line="142" w:lineRule="exact"/>
        <w:rPr>
          <w:sz w:val="20"/>
          <w:szCs w:val="20"/>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or through one or more underwriters, initial purchasers, brokers or dealers;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agents to investors or the public;</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short or long transactions;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put or call option transactions relating to our common stock;</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directly to agents or other purchasers;</w:t>
      </w:r>
    </w:p>
    <w:p>
      <w:pPr>
        <w:spacing w:after="0" w:line="130" w:lineRule="exact"/>
        <w:rPr>
          <w:rFonts w:ascii="Arial" w:cs="Arial" w:eastAsia="Arial" w:hAnsi="Arial"/>
          <w:sz w:val="18"/>
          <w:szCs w:val="18"/>
          <w:color w:val="auto"/>
        </w:rPr>
      </w:pPr>
    </w:p>
    <w:p>
      <w:pPr>
        <w:ind w:left="1460" w:right="180" w:hanging="547"/>
        <w:spacing w:after="0" w:line="277" w:lineRule="auto"/>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though a combination of any such methods of sale;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any other method described in the applicable prospectus supplement.</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The applicable prospectus supplement will set forth the terms of the offering and the method of distribution and will identify any firms acting as underwriters, initial purchasers, dealers or agents in connection with the offering, including:</w:t>
      </w:r>
    </w:p>
    <w:p>
      <w:pPr>
        <w:spacing w:after="0" w:line="76" w:lineRule="exact"/>
        <w:rPr>
          <w:sz w:val="20"/>
          <w:szCs w:val="20"/>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names of any underwriters, dealers or agents;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from the sale;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over-allotment options under which the underwriters may purchase additional shares of common stock from us;</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60" w:hanging="547"/>
        <w:spacing w:after="0" w:line="277"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underwriting discounts, concessions, commissions or agency fees and other items constituting compensation to underwriters, dealers or agents;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by underwriters or dealers to other dealers;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securities exchange or market on which the common stock offered in the prospectus supplement may be listed.</w:t>
      </w:r>
    </w:p>
    <w:p>
      <w:pPr>
        <w:spacing w:after="0" w:line="225"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If we or the selling stockholders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at the time an agreement for sale is reached. Unless we inform you otherwise in the applicable prospectus supplement, the obligations of the underwriters to purchase the securities will be subject to certain conditions. We or the selling stockholders may change from time to time any public offering price and any discounts or concessions the underwriters allow or pay to dealers.</w:t>
      </w:r>
    </w:p>
    <w:p>
      <w:pPr>
        <w:spacing w:after="0" w:line="179"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78"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87"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If dealers are used for the sale of securities, we or the selling stockholders,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w:t>
      </w:r>
    </w:p>
    <w:p>
      <w:pPr>
        <w:spacing w:after="0" w:line="18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or the selling stockholders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or the selling stockholders may sell the securities directly in transactions not involving underwriters, dealers or agents.</w:t>
      </w:r>
    </w:p>
    <w:p>
      <w:pPr>
        <w:spacing w:after="0" w:line="225" w:lineRule="exact"/>
        <w:rPr>
          <w:sz w:val="20"/>
          <w:szCs w:val="20"/>
          <w:color w:val="auto"/>
        </w:rPr>
      </w:pPr>
    </w:p>
    <w:p>
      <w:pPr>
        <w:ind w:right="200" w:firstLine="913"/>
        <w:spacing w:after="0" w:line="342" w:lineRule="auto"/>
        <w:rPr>
          <w:sz w:val="20"/>
          <w:szCs w:val="20"/>
          <w:color w:val="auto"/>
        </w:rPr>
      </w:pPr>
      <w:r>
        <w:rPr>
          <w:rFonts w:ascii="Arial" w:cs="Arial" w:eastAsia="Arial" w:hAnsi="Arial"/>
          <w:sz w:val="16"/>
          <w:szCs w:val="16"/>
          <w:color w:val="auto"/>
        </w:rPr>
        <w:t>We or the selling stockholders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124" w:lineRule="exact"/>
        <w:rPr>
          <w:sz w:val="20"/>
          <w:szCs w:val="20"/>
          <w:color w:val="auto"/>
        </w:rPr>
      </w:pPr>
    </w:p>
    <w:p>
      <w:pPr>
        <w:ind w:right="200" w:firstLine="913"/>
        <w:spacing w:after="0" w:line="276" w:lineRule="auto"/>
        <w:rPr>
          <w:sz w:val="20"/>
          <w:szCs w:val="20"/>
          <w:color w:val="auto"/>
        </w:rPr>
      </w:pPr>
      <w:r>
        <w:rPr>
          <w:rFonts w:ascii="Arial" w:cs="Arial" w:eastAsia="Arial" w:hAnsi="Arial"/>
          <w:sz w:val="17"/>
          <w:szCs w:val="17"/>
          <w:color w:val="auto"/>
        </w:rPr>
        <w:t>Underwriters, dealers and agents that participate in the distribution of the securities may be underwriters as defined in the applicable securities laws and any discounts or commissions they receive from us or the selling stockholders and any profit on their resale of the securities may be treated as underwriting discounts and commissions under the applicable securities laws. We will identify in the applicable prospectus supplement any underwriters, dealers or agents and will describe their compensation. We or the selling stockholders may have agreements with the underwriters, dealers and agents to indemnify them against specified civil liabilities, including liabilities under the applicable securities laws.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Underwriters, dealers and agents may engage in transactions with or perform services for us in the ordinary course of their businesses for which they may receive customary fees and reimbursement of expenses.</w:t>
      </w:r>
    </w:p>
    <w:p>
      <w:pPr>
        <w:spacing w:after="0" w:line="17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We or the selling stockholders may use underwriters with whom we or they have a material relationship. We will describe the nature of such relationship in the applicable prospectus supplement.</w:t>
      </w:r>
    </w:p>
    <w:p>
      <w:pPr>
        <w:spacing w:after="0" w:line="17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70"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We or the selling stockholders may enter into hedging transactions with broker-dealers and the broker-dealers may engage in short sales of the securities in the course of hedging the positions they assume with us or the selling stockholders, including, without limitation, in connection with distributions of the securities by those broker-dealers. We or the selling stockholders may enter into option or other transactions with broker-dealers that involve the delivery of the securities offered hereby to the broker-dealers, who may then resell or otherwise transfer those securities. We or the selling stockholders may also loan or pledge the securities offered hereby to a broker-dealer and the broker-dealer may sell the securities offered hereby so loaned or upon a default may sell or otherwise transfer the pledged securities offered hereby.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have never declared or paid cash dividends on our common or preferred stock. We currently intend to retain all available funds and any future earnings for use in the operation of our business and do not anticipate paying any cash dividends in the foreseeable future. Any future determination to declare cash dividends will be made at the discretion of our board of directors and will depend on our financial condition, results of operations, capital requirements, general business conditions, and other factors that our board of directors may deem relevant.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Gunderson Dettmer Stough Villeneuve Franklin &amp; Hachigian, LLP, Boston, Massachusetts. As of September 30, 2016, certain partners and employees of Gunderson Dettmer Stough Villeneuve Franklin &amp; Hachigian, LLP are the beneficial owners of 20,520 shares of our common stock.</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2015 have been so incorporated in reliance on the report of PricewaterhouseCoopers LLP, an independent registered public accounting firm, given on the authority of said firm as experts in auditing and accounting.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648970</wp:posOffset>
            </wp:positionV>
            <wp:extent cx="4425315" cy="7886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425315" cy="78867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920"/>
        <w:spacing w:after="0"/>
        <w:rPr>
          <w:sz w:val="20"/>
          <w:szCs w:val="20"/>
          <w:color w:val="auto"/>
        </w:rPr>
      </w:pPr>
      <w:r>
        <w:rPr>
          <w:rFonts w:ascii="Arial" w:cs="Arial" w:eastAsia="Arial" w:hAnsi="Arial"/>
          <w:sz w:val="29"/>
          <w:szCs w:val="29"/>
          <w:b w:val="1"/>
          <w:bCs w:val="1"/>
          <w:color w:val="auto"/>
        </w:rPr>
        <w:t>$225,000,000</w:t>
      </w:r>
    </w:p>
    <w:p>
      <w:pPr>
        <w:spacing w:after="0" w:line="200" w:lineRule="exact"/>
        <w:rPr>
          <w:sz w:val="20"/>
          <w:szCs w:val="20"/>
          <w:color w:val="auto"/>
        </w:rPr>
      </w:pPr>
    </w:p>
    <w:p>
      <w:pPr>
        <w:spacing w:after="0" w:line="225" w:lineRule="exact"/>
        <w:rPr>
          <w:sz w:val="20"/>
          <w:szCs w:val="20"/>
          <w:color w:val="auto"/>
        </w:rPr>
      </w:pPr>
    </w:p>
    <w:p>
      <w:pPr>
        <w:ind w:left="3880"/>
        <w:spacing w:after="0"/>
        <w:rPr>
          <w:sz w:val="20"/>
          <w:szCs w:val="20"/>
          <w:color w:val="auto"/>
        </w:rPr>
      </w:pPr>
      <w:r>
        <w:rPr>
          <w:rFonts w:ascii="Arial" w:cs="Arial" w:eastAsia="Arial" w:hAnsi="Arial"/>
          <w:sz w:val="43"/>
          <w:szCs w:val="43"/>
          <w:b w:val="1"/>
          <w:bCs w:val="1"/>
          <w:color w:val="auto"/>
        </w:rPr>
        <w:t>REGENXBIO INC.</w:t>
      </w:r>
    </w:p>
    <w:p>
      <w:pPr>
        <w:spacing w:after="0" w:line="200" w:lineRule="exact"/>
        <w:rPr>
          <w:sz w:val="20"/>
          <w:szCs w:val="20"/>
          <w:color w:val="auto"/>
        </w:rPr>
      </w:pPr>
    </w:p>
    <w:p>
      <w:pPr>
        <w:spacing w:after="0" w:line="25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Rights to Purchase Common Stock, Preferred Stock, Debt Securities or Units</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and</w:t>
      </w:r>
    </w:p>
    <w:p>
      <w:pPr>
        <w:spacing w:after="0" w:line="10"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5,057,458 Shares of Common Stock for Resale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403225</wp:posOffset>
            </wp:positionV>
            <wp:extent cx="15176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The following table sets forth an itemization of all estimated expenses in connection with the issuance and distribution of the securities being registered, all of which will be borne by the registrant.</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$38,219.79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Stock exchange listing fees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Trustee fees and expenses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Printing, FINRA filing fee (if applicable) and miscellaneous expenses</w:t>
            </w:r>
          </w:p>
        </w:tc>
        <w:tc>
          <w:tcPr>
            <w:tcW w:w="9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The amount of securities and number of offerings are indeterminable and the expenses cannot be estimated at this time.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(the Securities Act).</w:t>
      </w:r>
    </w:p>
    <w:p>
      <w:pPr>
        <w:spacing w:after="0" w:line="18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As permitted by the Delaware General Corporation Law, our restated certificate of incorporation and amended and restated bylaws contain provisions relating to the limitation of liability and indemnification of directors and officers. The restated certificate of incorporation provides that our directors will not be personally liable to us or our stockholders for monetary damages for any breach of fiduciary duty as a director, except for liability:</w:t>
      </w:r>
    </w:p>
    <w:p>
      <w:pPr>
        <w:spacing w:after="0" w:line="71"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respect of 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any improper personal benefit.</w:t>
      </w:r>
    </w:p>
    <w:p>
      <w:pPr>
        <w:spacing w:after="0" w:line="225"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Our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181"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spacing w:after="0" w:line="17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either have entered or intend to enter into indemnification agreements with each of our directors and executive officers and certain other key employees. The form of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other key employees, to the fullest extent permitted by Delaware law, our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currently carry and intend to continue to carry liability insurance for our directors and officers.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officers or employees in which indemnification will be required or permitted. We are not aware of any threatened litigation or proceeding that might result in a claim for such indemnification.</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 list of exhibits filed with this registration statement is set forth in the exhibit index that immediately precedes such exhibits and is incorporated herein by reference.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720" w:hanging="25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460" w:right="120" w:firstLine="443"/>
        <w:spacing w:after="0" w:line="293" w:lineRule="auto"/>
        <w:tabs>
          <w:tab w:leader="none" w:pos="1163" w:val="left"/>
        </w:tabs>
        <w:numPr>
          <w:ilvl w:val="1"/>
          <w:numId w:val="3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and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56" w:lineRule="exact"/>
        <w:rPr>
          <w:rFonts w:ascii="Arial" w:cs="Arial" w:eastAsia="Arial" w:hAnsi="Arial"/>
          <w:sz w:val="16"/>
          <w:szCs w:val="16"/>
          <w:color w:val="auto"/>
        </w:rPr>
      </w:pPr>
    </w:p>
    <w:p>
      <w:pPr>
        <w:ind w:left="460" w:right="420" w:firstLine="443"/>
        <w:spacing w:after="0" w:line="277" w:lineRule="auto"/>
        <w:tabs>
          <w:tab w:leader="none" w:pos="1213"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(1)(i), (1)(ii) and (1)(iii) above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ind w:firstLine="464"/>
        <w:spacing w:after="0" w:line="264" w:lineRule="auto"/>
        <w:tabs>
          <w:tab w:leader="none" w:pos="7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460" w:right="320" w:firstLine="443"/>
        <w:spacing w:after="0" w:line="277" w:lineRule="auto"/>
        <w:tabs>
          <w:tab w:leader="none" w:pos="1113"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460" w:right="200" w:firstLine="443"/>
        <w:spacing w:after="0" w:line="257" w:lineRule="auto"/>
        <w:tabs>
          <w:tab w:leader="none" w:pos="1163"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date of the first sale of securities in the offering described in the prospectus. As provided in Rule 430B, for liability purposes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 xml:space="preserve">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statement made in a registration statement or prospectus that is part of this registration statement or made in a document incorporated or deemed incorporated by reference into this registration statement or prospectus that is a part of this registration statement will, as to a purchaser with a time of contract sale prior to such effective date, supersede or modify any statement that was made in this registration statement or prospectus that was a part of this registration statement or made in any such document immediately prior to such effective date.</w:t>
      </w:r>
    </w:p>
    <w:p>
      <w:pPr>
        <w:spacing w:after="0" w:line="189" w:lineRule="exact"/>
        <w:rPr>
          <w:sz w:val="20"/>
          <w:szCs w:val="20"/>
          <w:color w:val="auto"/>
        </w:rPr>
      </w:pPr>
    </w:p>
    <w:p>
      <w:pPr>
        <w:ind w:right="20" w:firstLine="464"/>
        <w:spacing w:after="0" w:line="279" w:lineRule="auto"/>
        <w:tabs>
          <w:tab w:leader="none" w:pos="711"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3" w:lineRule="exact"/>
        <w:rPr>
          <w:rFonts w:ascii="Arial" w:cs="Arial" w:eastAsia="Arial" w:hAnsi="Arial"/>
          <w:sz w:val="17"/>
          <w:szCs w:val="17"/>
          <w:color w:val="auto"/>
        </w:rPr>
      </w:pPr>
    </w:p>
    <w:p>
      <w:pPr>
        <w:ind w:left="1120" w:hanging="217"/>
        <w:spacing w:after="0"/>
        <w:tabs>
          <w:tab w:leader="none" w:pos="112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left="460" w:right="580" w:firstLine="443"/>
        <w:spacing w:after="0" w:line="277" w:lineRule="auto"/>
        <w:tabs>
          <w:tab w:leader="none" w:pos="1163"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460" w:right="160" w:firstLine="443"/>
        <w:spacing w:after="0" w:line="277" w:lineRule="auto"/>
        <w:tabs>
          <w:tab w:leader="none" w:pos="1213"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each filing of the registrant’s annual report pursuant to</w:t>
      </w:r>
    </w:p>
    <w:p>
      <w:pPr>
        <w:spacing w:after="0" w:line="2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 xml:space="preserve">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55" w:lineRule="exact"/>
        <w:rPr>
          <w:sz w:val="20"/>
          <w:szCs w:val="20"/>
          <w:color w:val="auto"/>
        </w:rPr>
      </w:pPr>
    </w:p>
    <w:p>
      <w:pPr>
        <w:ind w:firstLine="464"/>
        <w:spacing w:after="0" w:line="276" w:lineRule="auto"/>
        <w:tabs>
          <w:tab w:leader="none" w:pos="711"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connection with offerings of securities to existing security holders pursuant to warrant or rights where any securities not taken by security holders are to be reoffered to the public, to supplement the prospectus, after the expiration of the subscription period for a warrant or rights offering,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172" w:lineRule="exact"/>
        <w:rPr>
          <w:rFonts w:ascii="Arial" w:cs="Arial" w:eastAsia="Arial" w:hAnsi="Arial"/>
          <w:sz w:val="17"/>
          <w:szCs w:val="17"/>
          <w:color w:val="auto"/>
        </w:rPr>
      </w:pPr>
    </w:p>
    <w:p>
      <w:pPr>
        <w:ind w:right="20" w:firstLine="464"/>
        <w:spacing w:after="0" w:line="271" w:lineRule="auto"/>
        <w:tabs>
          <w:tab w:leader="none" w:pos="711"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78" w:lineRule="exact"/>
        <w:rPr>
          <w:rFonts w:ascii="Arial" w:cs="Arial" w:eastAsia="Arial" w:hAnsi="Arial"/>
          <w:sz w:val="17"/>
          <w:szCs w:val="17"/>
          <w:color w:val="auto"/>
        </w:rPr>
      </w:pPr>
    </w:p>
    <w:p>
      <w:pPr>
        <w:ind w:left="720" w:hanging="256"/>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w:t>
      </w:r>
    </w:p>
    <w:p>
      <w:pPr>
        <w:spacing w:after="0" w:line="117" w:lineRule="exact"/>
        <w:rPr>
          <w:rFonts w:ascii="Arial" w:cs="Arial" w:eastAsia="Arial" w:hAnsi="Arial"/>
          <w:sz w:val="18"/>
          <w:szCs w:val="18"/>
          <w:color w:val="auto"/>
        </w:rPr>
      </w:pPr>
    </w:p>
    <w:p>
      <w:pPr>
        <w:ind w:left="460" w:right="300" w:firstLine="443"/>
        <w:spacing w:after="0" w:line="277" w:lineRule="auto"/>
        <w:tabs>
          <w:tab w:leader="none" w:pos="1113" w:val="left"/>
        </w:tabs>
        <w:numPr>
          <w:ilvl w:val="1"/>
          <w:numId w:val="39"/>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(i) the information omitted from the form of prospectus filed as part of this registration statement in reliance upon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Rule 430A and contained in a form of prospectus filed by the registrant pursuant to Rule 424(b) (1) or (4) or 497(h) under the Securities Act of 1933, shall be deemed to be part of this registration statement as of the time it was declared effective, and</w:t>
      </w:r>
    </w:p>
    <w:p>
      <w:pPr>
        <w:spacing w:after="0" w:line="62" w:lineRule="exact"/>
        <w:rPr>
          <w:sz w:val="20"/>
          <w:szCs w:val="20"/>
          <w:color w:val="auto"/>
        </w:rPr>
      </w:pPr>
    </w:p>
    <w:p>
      <w:pPr>
        <w:ind w:left="460" w:right="160" w:firstLine="443"/>
        <w:spacing w:after="0" w:line="264" w:lineRule="auto"/>
        <w:tabs>
          <w:tab w:leader="none" w:pos="1163" w:val="left"/>
        </w:tabs>
        <w:numPr>
          <w:ilvl w:val="2"/>
          <w:numId w:val="40"/>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jc w:val="both"/>
        <w:ind w:firstLine="464"/>
        <w:spacing w:after="0" w:line="291" w:lineRule="auto"/>
        <w:tabs>
          <w:tab w:leader="none" w:pos="801" w:val="left"/>
        </w:tabs>
        <w:numPr>
          <w:ilvl w:val="1"/>
          <w:numId w:val="41"/>
        </w:numPr>
        <w:rPr>
          <w:rFonts w:ascii="Arial" w:cs="Arial" w:eastAsia="Arial" w:hAnsi="Arial"/>
          <w:sz w:val="16"/>
          <w:szCs w:val="16"/>
          <w:color w:val="auto"/>
        </w:rPr>
      </w:pPr>
      <w:r>
        <w:rPr>
          <w:rFonts w:ascii="Arial" w:cs="Arial" w:eastAsia="Arial" w:hAnsi="Arial"/>
          <w:sz w:val="16"/>
          <w:szCs w:val="16"/>
          <w:color w:val="auto"/>
        </w:rPr>
        <w:t>If and when applicable, to file an application for the purpose of determining the eligibility of the trustee to act under subsection (a) of Section 310 of the Trust Indenture Act of 1939 in accordance with the rules and regulations prescribed by the Securities and Exchange Commission under Section 305(b)</w:t>
      </w: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of the Trust Indenture Act of 1939.</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20"/>
          </w:cols>
          <w:pgMar w:left="24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Rockville, State of Maryland, on the 16</w:t>
      </w:r>
      <w:r>
        <w:rPr>
          <w:rFonts w:ascii="Arial" w:cs="Arial" w:eastAsia="Arial" w:hAnsi="Arial"/>
          <w:sz w:val="15"/>
          <w:szCs w:val="15"/>
          <w:color w:val="auto"/>
        </w:rPr>
        <w:t>th</w:t>
      </w:r>
      <w:r>
        <w:rPr>
          <w:rFonts w:ascii="Arial" w:cs="Arial" w:eastAsia="Arial" w:hAnsi="Arial"/>
          <w:sz w:val="18"/>
          <w:szCs w:val="18"/>
          <w:color w:val="auto"/>
        </w:rPr>
        <w:t xml:space="preserve"> day of December, 2016.</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REGENXBIO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Kenneth T.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Kenneth T. Mills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Kenneth T. Mills and Patrick J. Christmas, and each of them, as his true and lawful attorneys-in-fact and agents, with full power of substitution and resubstitution, for him and in his name, place and stead, in any and all capacities, to sign any and all amendments (including post-effective amendments) to this registration statement and sign any registration statement for the same offering covered by the registration statement that is to be effective upon filing pursuant to Rule 462 promulgated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82"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40" w:type="dxa"/>
            <w:vAlign w:val="bottom"/>
          </w:tcPr>
          <w:p>
            <w:pPr>
              <w:spacing w:after="0"/>
              <w:rPr>
                <w:sz w:val="16"/>
                <w:szCs w:val="16"/>
                <w:color w:val="auto"/>
              </w:rPr>
            </w:pPr>
          </w:p>
        </w:tc>
        <w:tc>
          <w:tcPr>
            <w:tcW w:w="244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2"/>
              </w:rPr>
              <w:t>Signature</w:t>
            </w:r>
          </w:p>
        </w:tc>
        <w:tc>
          <w:tcPr>
            <w:tcW w:w="2500" w:type="dxa"/>
            <w:vAlign w:val="bottom"/>
          </w:tcPr>
          <w:p>
            <w:pPr>
              <w:spacing w:after="0"/>
              <w:rPr>
                <w:sz w:val="16"/>
                <w:szCs w:val="16"/>
                <w:color w:val="auto"/>
              </w:rPr>
            </w:pPr>
          </w:p>
        </w:tc>
        <w:tc>
          <w:tcPr>
            <w:tcW w:w="2840" w:type="dxa"/>
            <w:vAlign w:val="bottom"/>
            <w:gridSpan w:val="2"/>
          </w:tcPr>
          <w:p>
            <w:pPr>
              <w:jc w:val="center"/>
              <w:ind w:right="2560"/>
              <w:spacing w:after="0"/>
              <w:rPr>
                <w:sz w:val="20"/>
                <w:szCs w:val="20"/>
                <w:color w:val="auto"/>
              </w:rPr>
            </w:pPr>
            <w:r>
              <w:rPr>
                <w:rFonts w:ascii="Arial" w:cs="Arial" w:eastAsia="Arial" w:hAnsi="Arial"/>
                <w:sz w:val="14"/>
                <w:szCs w:val="14"/>
                <w:b w:val="1"/>
                <w:bCs w:val="1"/>
                <w:color w:val="auto"/>
                <w:w w:val="97"/>
              </w:rPr>
              <w:t>Title</w:t>
            </w:r>
          </w:p>
        </w:tc>
        <w:tc>
          <w:tcPr>
            <w:tcW w:w="1640" w:type="dxa"/>
            <w:vAlign w:val="bottom"/>
            <w:gridSpan w:val="3"/>
          </w:tcPr>
          <w:p>
            <w:pPr>
              <w:jc w:val="center"/>
              <w:ind w:left="13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Kenneth T. Mills</w:t>
            </w:r>
          </w:p>
        </w:tc>
        <w:tc>
          <w:tcPr>
            <w:tcW w:w="534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President and Chief Executive Officer (Principal Executive Officer)</w:t>
            </w:r>
          </w:p>
        </w:tc>
        <w:tc>
          <w:tcPr>
            <w:tcW w:w="1640" w:type="dxa"/>
            <w:vAlign w:val="bottom"/>
            <w:gridSpan w:val="3"/>
          </w:tcPr>
          <w:p>
            <w:pPr>
              <w:jc w:val="center"/>
              <w:ind w:left="132"/>
              <w:spacing w:after="0"/>
              <w:rPr>
                <w:sz w:val="20"/>
                <w:szCs w:val="20"/>
                <w:color w:val="auto"/>
              </w:rPr>
            </w:pPr>
            <w:r>
              <w:rPr>
                <w:rFonts w:ascii="Arial" w:cs="Arial" w:eastAsia="Arial" w:hAnsi="Arial"/>
                <w:sz w:val="18"/>
                <w:szCs w:val="18"/>
                <w:color w:val="auto"/>
                <w:w w:val="89"/>
              </w:rPr>
              <w:t>December 16,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4"/>
              </w:rPr>
              <w:t>Kenneth T. Mills</w:t>
            </w:r>
          </w:p>
        </w:tc>
        <w:tc>
          <w:tcPr>
            <w:tcW w:w="534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and Director</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Vittal Vasista</w:t>
            </w:r>
          </w:p>
        </w:tc>
        <w:tc>
          <w:tcPr>
            <w:tcW w:w="534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Chief Financial Officer (Principal Financial and Accounting Officer)</w:t>
            </w:r>
          </w:p>
        </w:tc>
        <w:tc>
          <w:tcPr>
            <w:tcW w:w="1640" w:type="dxa"/>
            <w:vAlign w:val="bottom"/>
            <w:gridSpan w:val="3"/>
          </w:tcPr>
          <w:p>
            <w:pPr>
              <w:jc w:val="center"/>
              <w:ind w:left="132"/>
              <w:spacing w:after="0"/>
              <w:rPr>
                <w:sz w:val="20"/>
                <w:szCs w:val="20"/>
                <w:color w:val="auto"/>
              </w:rPr>
            </w:pPr>
            <w:r>
              <w:rPr>
                <w:rFonts w:ascii="Arial" w:cs="Arial" w:eastAsia="Arial" w:hAnsi="Arial"/>
                <w:sz w:val="18"/>
                <w:szCs w:val="18"/>
                <w:color w:val="auto"/>
                <w:w w:val="89"/>
              </w:rPr>
              <w:t>December 16,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2"/>
              </w:rPr>
              <w:t>Vittal Vasista</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Donald J. Hayden, Jr.</w:t>
            </w:r>
          </w:p>
        </w:tc>
        <w:tc>
          <w:tcPr>
            <w:tcW w:w="534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Chairman of the Board of Directors</w:t>
            </w:r>
          </w:p>
        </w:tc>
        <w:tc>
          <w:tcPr>
            <w:tcW w:w="1640" w:type="dxa"/>
            <w:vAlign w:val="bottom"/>
            <w:gridSpan w:val="3"/>
          </w:tcPr>
          <w:p>
            <w:pPr>
              <w:jc w:val="center"/>
              <w:ind w:left="132"/>
              <w:spacing w:after="0"/>
              <w:rPr>
                <w:sz w:val="20"/>
                <w:szCs w:val="20"/>
                <w:color w:val="auto"/>
              </w:rPr>
            </w:pPr>
            <w:r>
              <w:rPr>
                <w:rFonts w:ascii="Arial" w:cs="Arial" w:eastAsia="Arial" w:hAnsi="Arial"/>
                <w:sz w:val="18"/>
                <w:szCs w:val="18"/>
                <w:color w:val="auto"/>
                <w:w w:val="89"/>
              </w:rPr>
              <w:t>December 16,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0"/>
              </w:rPr>
              <w:t>Donald J. Hayden, Jr.</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Daniel J. Abdun-Nabi</w:t>
            </w:r>
          </w:p>
        </w:tc>
        <w:tc>
          <w:tcPr>
            <w:tcW w:w="534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132"/>
              <w:spacing w:after="0"/>
              <w:rPr>
                <w:sz w:val="20"/>
                <w:szCs w:val="20"/>
                <w:color w:val="auto"/>
              </w:rPr>
            </w:pPr>
            <w:r>
              <w:rPr>
                <w:rFonts w:ascii="Arial" w:cs="Arial" w:eastAsia="Arial" w:hAnsi="Arial"/>
                <w:sz w:val="18"/>
                <w:szCs w:val="18"/>
                <w:color w:val="auto"/>
                <w:w w:val="89"/>
              </w:rPr>
              <w:t>December 16,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4"/>
              </w:rPr>
              <w:t>Daniel J. Abdun-Nabi</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Luke M. Beshar</w:t>
            </w:r>
          </w:p>
        </w:tc>
        <w:tc>
          <w:tcPr>
            <w:tcW w:w="534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132"/>
              <w:spacing w:after="0"/>
              <w:rPr>
                <w:sz w:val="20"/>
                <w:szCs w:val="20"/>
                <w:color w:val="auto"/>
              </w:rPr>
            </w:pPr>
            <w:r>
              <w:rPr>
                <w:rFonts w:ascii="Arial" w:cs="Arial" w:eastAsia="Arial" w:hAnsi="Arial"/>
                <w:sz w:val="18"/>
                <w:szCs w:val="18"/>
                <w:color w:val="auto"/>
                <w:w w:val="89"/>
              </w:rPr>
              <w:t>December 16,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1"/>
              </w:rPr>
              <w:t>Luke M. Beshar</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Allan M. Fox</w:t>
            </w:r>
          </w:p>
        </w:tc>
        <w:tc>
          <w:tcPr>
            <w:tcW w:w="534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132"/>
              <w:spacing w:after="0"/>
              <w:rPr>
                <w:sz w:val="20"/>
                <w:szCs w:val="20"/>
                <w:color w:val="auto"/>
              </w:rPr>
            </w:pPr>
            <w:r>
              <w:rPr>
                <w:rFonts w:ascii="Arial" w:cs="Arial" w:eastAsia="Arial" w:hAnsi="Arial"/>
                <w:sz w:val="18"/>
                <w:szCs w:val="18"/>
                <w:color w:val="auto"/>
                <w:w w:val="89"/>
              </w:rPr>
              <w:t>December 16,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5"/>
              </w:rPr>
              <w:t>Allan M. Fox</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A.N. “Jerry” Karabelas</w:t>
            </w:r>
          </w:p>
        </w:tc>
        <w:tc>
          <w:tcPr>
            <w:tcW w:w="534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132"/>
              <w:spacing w:after="0"/>
              <w:rPr>
                <w:sz w:val="20"/>
                <w:szCs w:val="20"/>
                <w:color w:val="auto"/>
              </w:rPr>
            </w:pPr>
            <w:r>
              <w:rPr>
                <w:rFonts w:ascii="Arial" w:cs="Arial" w:eastAsia="Arial" w:hAnsi="Arial"/>
                <w:sz w:val="18"/>
                <w:szCs w:val="18"/>
                <w:color w:val="auto"/>
                <w:w w:val="89"/>
              </w:rPr>
              <w:t>December 16,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4"/>
              </w:rPr>
              <w:t>A.N. “Jerry” Karabelas</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David C. Stump</w:t>
            </w:r>
          </w:p>
        </w:tc>
        <w:tc>
          <w:tcPr>
            <w:tcW w:w="534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132"/>
              <w:spacing w:after="0"/>
              <w:rPr>
                <w:sz w:val="20"/>
                <w:szCs w:val="20"/>
                <w:color w:val="auto"/>
              </w:rPr>
            </w:pPr>
            <w:r>
              <w:rPr>
                <w:rFonts w:ascii="Arial" w:cs="Arial" w:eastAsia="Arial" w:hAnsi="Arial"/>
                <w:sz w:val="18"/>
                <w:szCs w:val="18"/>
                <w:color w:val="auto"/>
                <w:w w:val="89"/>
              </w:rPr>
              <w:t>December 16,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1"/>
              </w:rPr>
              <w:t>David C. Stump</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Daniel Tassé</w:t>
            </w:r>
          </w:p>
        </w:tc>
        <w:tc>
          <w:tcPr>
            <w:tcW w:w="534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132"/>
              <w:spacing w:after="0"/>
              <w:rPr>
                <w:sz w:val="20"/>
                <w:szCs w:val="20"/>
                <w:color w:val="auto"/>
              </w:rPr>
            </w:pPr>
            <w:r>
              <w:rPr>
                <w:rFonts w:ascii="Arial" w:cs="Arial" w:eastAsia="Arial" w:hAnsi="Arial"/>
                <w:sz w:val="18"/>
                <w:szCs w:val="18"/>
                <w:color w:val="auto"/>
                <w:w w:val="89"/>
              </w:rPr>
              <w:t>December 16,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87"/>
              </w:rPr>
              <w:t>Daniel Tassé</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86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10860" w:type="dxa"/>
            <w:vAlign w:val="bottom"/>
            <w:gridSpan w:val="3"/>
            <w:vMerge w:val="restart"/>
          </w:tcPr>
          <w:p>
            <w:pPr>
              <w:ind w:left="5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108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w:t>
            </w:r>
            <w:r>
              <w:rPr>
                <w:rFonts w:ascii="Arial" w:cs="Arial" w:eastAsia="Arial" w:hAnsi="Arial"/>
                <w:sz w:val="15"/>
                <w:szCs w:val="15"/>
                <w:color w:val="auto"/>
              </w:rPr>
              <w:t>*</w:t>
            </w:r>
          </w:p>
        </w:tc>
        <w:tc>
          <w:tcPr>
            <w:tcW w:w="5380" w:type="dxa"/>
            <w:vAlign w:val="bottom"/>
          </w:tcPr>
          <w:p>
            <w:pPr>
              <w:ind w:left="560"/>
              <w:spacing w:after="0"/>
              <w:rPr>
                <w:sz w:val="20"/>
                <w:szCs w:val="20"/>
                <w:color w:val="auto"/>
              </w:rPr>
            </w:pPr>
            <w:r>
              <w:rPr>
                <w:rFonts w:ascii="Arial" w:cs="Arial" w:eastAsia="Arial" w:hAnsi="Arial"/>
                <w:sz w:val="18"/>
                <w:szCs w:val="18"/>
                <w:color w:val="auto"/>
              </w:rPr>
              <w:t>Form of underwriting agreement.</w:t>
            </w:r>
          </w:p>
        </w:tc>
        <w:tc>
          <w:tcPr>
            <w:tcW w:w="700" w:type="dxa"/>
            <w:vAlign w:val="bottom"/>
            <w:tcBorders>
              <w:top w:val="single" w:sz="8" w:color="auto"/>
            </w:tcBorders>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w w:val="92"/>
              </w:rPr>
              <w:t>Restated Certificate of Incorporation (incorporated herein by reference to Exhibit 3.1 to the Registrant’s Current Report on Form 8-K filed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September 22, 2015).</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4.2</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w w:val="95"/>
              </w:rPr>
              <w:t>Amended and Restated Bylaws (incorporated herein by reference to Exhibit 3.2 to the Registrant’s Current Report on Form 8-K filed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September 22, 2015).</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w w:val="90"/>
              </w:rPr>
              <w:t>Specimen stock certificate evidencing shares of the Registrant’s $0.0001 par value Common Stock (incorporated herein by reference to Exhibit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4.1 to the Registrant’s Registration Statement on Form S-1 filed on August 17, 2015).</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4.4</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w w:val="97"/>
              </w:rPr>
              <w:t>Amended and Restated Investors’ Rights Agreement dated as of May 15, 2015 (incorporated herein by reference to Exhibit 4.2 to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Registrant’s Registration Statement on Form S-1 filed on August 17, 2015).</w:t>
            </w:r>
          </w:p>
        </w:tc>
        <w:tc>
          <w:tcPr>
            <w:tcW w:w="0" w:type="dxa"/>
            <w:vAlign w:val="bottom"/>
          </w:tcPr>
          <w:p>
            <w:pPr>
              <w:spacing w:after="0"/>
              <w:rPr>
                <w:sz w:val="1"/>
                <w:szCs w:val="1"/>
                <w:color w:val="auto"/>
              </w:rPr>
            </w:pPr>
          </w:p>
        </w:tc>
      </w:tr>
      <w:tr>
        <w:trPr>
          <w:trHeight w:val="324"/>
        </w:trPr>
        <w:tc>
          <w:tcPr>
            <w:tcW w:w="520" w:type="dxa"/>
            <w:vAlign w:val="bottom"/>
          </w:tcPr>
          <w:p>
            <w:pPr>
              <w:jc w:val="right"/>
              <w:ind w:right="32"/>
              <w:spacing w:after="0"/>
              <w:rPr>
                <w:sz w:val="20"/>
                <w:szCs w:val="20"/>
                <w:color w:val="auto"/>
              </w:rPr>
            </w:pPr>
            <w:r>
              <w:rPr>
                <w:rFonts w:ascii="Arial" w:cs="Arial" w:eastAsia="Arial" w:hAnsi="Arial"/>
                <w:sz w:val="18"/>
                <w:szCs w:val="18"/>
                <w:color w:val="auto"/>
              </w:rPr>
              <w:t>4.5</w:t>
            </w:r>
            <w:r>
              <w:rPr>
                <w:rFonts w:ascii="Arial" w:cs="Arial" w:eastAsia="Arial" w:hAnsi="Arial"/>
                <w:sz w:val="15"/>
                <w:szCs w:val="15"/>
                <w:color w:val="auto"/>
              </w:rPr>
              <w:t>*</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w w:val="94"/>
              </w:rPr>
              <w:t>Form of certificate of designation with respect to any preferred stock issued hereunder and the related form of preferred stock certificate.</w:t>
            </w:r>
          </w:p>
        </w:tc>
        <w:tc>
          <w:tcPr>
            <w:tcW w:w="0" w:type="dxa"/>
            <w:vAlign w:val="bottom"/>
          </w:tcPr>
          <w:p>
            <w:pPr>
              <w:spacing w:after="0"/>
              <w:rPr>
                <w:sz w:val="1"/>
                <w:szCs w:val="1"/>
                <w:color w:val="auto"/>
              </w:rPr>
            </w:pPr>
          </w:p>
        </w:tc>
      </w:tr>
      <w:tr>
        <w:trPr>
          <w:trHeight w:val="324"/>
        </w:trPr>
        <w:tc>
          <w:tcPr>
            <w:tcW w:w="520" w:type="dxa"/>
            <w:vAlign w:val="bottom"/>
          </w:tcPr>
          <w:p>
            <w:pPr>
              <w:jc w:val="right"/>
              <w:ind w:right="32"/>
              <w:spacing w:after="0"/>
              <w:rPr>
                <w:sz w:val="20"/>
                <w:szCs w:val="20"/>
                <w:color w:val="auto"/>
              </w:rPr>
            </w:pPr>
            <w:r>
              <w:rPr>
                <w:rFonts w:ascii="Arial" w:cs="Arial" w:eastAsia="Arial" w:hAnsi="Arial"/>
                <w:sz w:val="18"/>
                <w:szCs w:val="18"/>
                <w:color w:val="auto"/>
              </w:rPr>
              <w:t>4.6</w:t>
            </w:r>
            <w:r>
              <w:rPr>
                <w:rFonts w:ascii="Arial" w:cs="Arial" w:eastAsia="Arial" w:hAnsi="Arial"/>
                <w:sz w:val="15"/>
                <w:szCs w:val="15"/>
                <w:color w:val="auto"/>
              </w:rPr>
              <w:t>*</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32"/>
              <w:spacing w:after="0"/>
              <w:rPr>
                <w:sz w:val="20"/>
                <w:szCs w:val="20"/>
                <w:color w:val="auto"/>
              </w:rPr>
            </w:pPr>
            <w:r>
              <w:rPr>
                <w:rFonts w:ascii="Arial" w:cs="Arial" w:eastAsia="Arial" w:hAnsi="Arial"/>
                <w:sz w:val="18"/>
                <w:szCs w:val="18"/>
                <w:color w:val="auto"/>
              </w:rPr>
              <w:t>4.7</w:t>
            </w:r>
            <w:r>
              <w:rPr>
                <w:rFonts w:ascii="Arial" w:cs="Arial" w:eastAsia="Arial" w:hAnsi="Arial"/>
                <w:sz w:val="15"/>
                <w:szCs w:val="15"/>
                <w:color w:val="auto"/>
              </w:rPr>
              <w:t>*</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Form of warrant certificate.</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4.8</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Form of indenture to be entered into between registrant and a trustee acceptable to the registrant.</w:t>
            </w:r>
          </w:p>
        </w:tc>
        <w:tc>
          <w:tcPr>
            <w:tcW w:w="0" w:type="dxa"/>
            <w:vAlign w:val="bottom"/>
          </w:tcPr>
          <w:p>
            <w:pPr>
              <w:spacing w:after="0"/>
              <w:rPr>
                <w:sz w:val="1"/>
                <w:szCs w:val="1"/>
                <w:color w:val="auto"/>
              </w:rPr>
            </w:pPr>
          </w:p>
        </w:tc>
      </w:tr>
      <w:tr>
        <w:trPr>
          <w:trHeight w:val="324"/>
        </w:trPr>
        <w:tc>
          <w:tcPr>
            <w:tcW w:w="520" w:type="dxa"/>
            <w:vAlign w:val="bottom"/>
          </w:tcPr>
          <w:p>
            <w:pPr>
              <w:jc w:val="right"/>
              <w:ind w:right="32"/>
              <w:spacing w:after="0"/>
              <w:rPr>
                <w:sz w:val="20"/>
                <w:szCs w:val="20"/>
                <w:color w:val="auto"/>
              </w:rPr>
            </w:pPr>
            <w:r>
              <w:rPr>
                <w:rFonts w:ascii="Arial" w:cs="Arial" w:eastAsia="Arial" w:hAnsi="Arial"/>
                <w:sz w:val="18"/>
                <w:szCs w:val="18"/>
                <w:color w:val="auto"/>
              </w:rPr>
              <w:t>4.9</w:t>
            </w:r>
            <w:r>
              <w:rPr>
                <w:rFonts w:ascii="Arial" w:cs="Arial" w:eastAsia="Arial" w:hAnsi="Arial"/>
                <w:sz w:val="15"/>
                <w:szCs w:val="15"/>
                <w:color w:val="auto"/>
              </w:rPr>
              <w:t>*</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Form of debt security.</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4.10</w:t>
            </w:r>
            <w:r>
              <w:rPr>
                <w:rFonts w:ascii="Arial" w:cs="Arial" w:eastAsia="Arial" w:hAnsi="Arial"/>
                <w:sz w:val="15"/>
                <w:szCs w:val="15"/>
                <w:color w:val="auto"/>
              </w:rPr>
              <w:t>*</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Form of rights certificate.</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4.11</w:t>
            </w:r>
            <w:r>
              <w:rPr>
                <w:rFonts w:ascii="Arial" w:cs="Arial" w:eastAsia="Arial" w:hAnsi="Arial"/>
                <w:sz w:val="15"/>
                <w:szCs w:val="15"/>
                <w:color w:val="auto"/>
              </w:rPr>
              <w:t>*</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Form of unit agreement.</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4.12</w:t>
            </w:r>
            <w:r>
              <w:rPr>
                <w:rFonts w:ascii="Arial" w:cs="Arial" w:eastAsia="Arial" w:hAnsi="Arial"/>
                <w:sz w:val="15"/>
                <w:szCs w:val="15"/>
                <w:color w:val="auto"/>
              </w:rPr>
              <w:t>*</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Form of unit certificate.</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Opinion of Gunderson Dettmer Stough Villeneuve Franklin &amp; Hachigian,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12.1*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Computation of Ratio of Earnings to Fixed Charges and Earnings to Preferred Stock Dividends</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Consent of PricewaterhouseCoopers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23.2</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Consent of Gunderson Dettmer Stough Villeneuve Franklin &amp; Hachigian, LLP (included in its Opinion filed as Exhibit 5.1 hereto).</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24.1</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Powers of Attorney (included on signature page hereto).</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w w:val="98"/>
              </w:rPr>
              <w:t>25.1</w:t>
            </w:r>
            <w:r>
              <w:rPr>
                <w:rFonts w:ascii="Arial" w:cs="Arial" w:eastAsia="Arial" w:hAnsi="Arial"/>
                <w:sz w:val="15"/>
                <w:szCs w:val="15"/>
                <w:color w:val="auto"/>
                <w:w w:val="98"/>
              </w:rPr>
              <w:t>**</w:t>
            </w:r>
          </w:p>
        </w:tc>
        <w:tc>
          <w:tcPr>
            <w:tcW w:w="10860" w:type="dxa"/>
            <w:vAlign w:val="bottom"/>
            <w:gridSpan w:val="3"/>
          </w:tcPr>
          <w:p>
            <w:pPr>
              <w:ind w:left="560"/>
              <w:spacing w:after="0"/>
              <w:rPr>
                <w:sz w:val="20"/>
                <w:szCs w:val="20"/>
                <w:color w:val="auto"/>
              </w:rPr>
            </w:pPr>
            <w:r>
              <w:rPr>
                <w:rFonts w:ascii="Arial" w:cs="Arial" w:eastAsia="Arial" w:hAnsi="Arial"/>
                <w:sz w:val="18"/>
                <w:szCs w:val="18"/>
                <w:color w:val="auto"/>
              </w:rPr>
              <w:t>Statement of Eligibility of Trustee on Form T-1 under Trust Indenture Act of 1939.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be filed by amendment or as an exhibit to a document filed under the Exchange Act and incorporated by reference herein.</w:t>
      </w:r>
    </w:p>
    <w:p>
      <w:pPr>
        <w:spacing w:after="0" w:line="23" w:lineRule="exact"/>
        <w:rPr>
          <w:sz w:val="20"/>
          <w:szCs w:val="20"/>
          <w:color w:val="auto"/>
        </w:rPr>
      </w:pPr>
    </w:p>
    <w:p>
      <w:pPr>
        <w:ind w:left="460" w:right="720" w:hanging="452"/>
        <w:spacing w:after="0" w:line="261"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be filed separately pursuant to Section 305(b)(2) of the Trust Indenture Act of 1939, as amended, and the appropriate rules and regulations thereunder.</w:t>
      </w:r>
    </w:p>
    <w:p>
      <w:pPr>
        <w:sectPr>
          <w:pgSz w:w="11900" w:h="16838" w:orient="portrait"/>
          <w:cols w:equalWidth="0" w:num="1">
            <w:col w:w="11380"/>
          </w:cols>
          <w:pgMar w:left="240" w:top="459" w:right="27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4.8</w:t>
      </w:r>
    </w:p>
    <w:p>
      <w:pPr>
        <w:spacing w:after="0" w:line="22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REGENXBIO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238125</wp:posOffset>
            </wp:positionV>
            <wp:extent cx="15176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246380</wp:posOffset>
            </wp:positionV>
            <wp:extent cx="15176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60" w:type="dxa"/>
            <w:vAlign w:val="bottom"/>
            <w:gridSpan w:val="9"/>
          </w:tcPr>
          <w:p>
            <w:pPr>
              <w:ind w:left="140"/>
              <w:spacing w:after="0"/>
              <w:rPr>
                <w:sz w:val="20"/>
                <w:szCs w:val="20"/>
                <w:color w:val="auto"/>
              </w:rPr>
            </w:pPr>
            <w:r>
              <w:rPr>
                <w:rFonts w:ascii="Arial" w:cs="Arial" w:eastAsia="Arial" w:hAnsi="Arial"/>
                <w:sz w:val="18"/>
                <w:szCs w:val="18"/>
                <w:b w:val="1"/>
                <w:bCs w:val="1"/>
                <w:color w:val="auto"/>
              </w:rPr>
              <w:t>TABLE OF CONTENTS</w:t>
            </w:r>
          </w:p>
        </w:tc>
        <w:tc>
          <w:tcPr>
            <w:tcW w:w="1540" w:type="dxa"/>
            <w:vAlign w:val="bottom"/>
          </w:tcPr>
          <w:p>
            <w:pPr>
              <w:spacing w:after="0"/>
              <w:rPr>
                <w:sz w:val="20"/>
                <w:szCs w:val="20"/>
                <w:color w:val="auto"/>
              </w:rPr>
            </w:pPr>
          </w:p>
        </w:tc>
      </w:tr>
      <w:tr>
        <w:trPr>
          <w:trHeight w:val="407"/>
        </w:trPr>
        <w:tc>
          <w:tcPr>
            <w:tcW w:w="1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80" w:type="dxa"/>
            <w:vAlign w:val="bottom"/>
            <w:gridSpan w:val="7"/>
          </w:tcPr>
          <w:p>
            <w:pPr>
              <w:jc w:val="center"/>
              <w:ind w:right="3560"/>
              <w:spacing w:after="0"/>
              <w:rPr>
                <w:sz w:val="20"/>
                <w:szCs w:val="20"/>
                <w:color w:val="auto"/>
              </w:rPr>
            </w:pPr>
            <w:r>
              <w:rPr>
                <w:rFonts w:ascii="Arial" w:cs="Arial" w:eastAsia="Arial" w:hAnsi="Arial"/>
                <w:sz w:val="18"/>
                <w:szCs w:val="18"/>
                <w:color w:val="auto"/>
                <w:w w:val="96"/>
              </w:rPr>
              <w:t>ARTICLE 1</w:t>
            </w:r>
          </w:p>
        </w:tc>
        <w:tc>
          <w:tcPr>
            <w:tcW w:w="154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80" w:type="dxa"/>
            <w:vAlign w:val="bottom"/>
            <w:gridSpan w:val="7"/>
          </w:tcPr>
          <w:p>
            <w:pPr>
              <w:jc w:val="center"/>
              <w:ind w:right="3560"/>
              <w:spacing w:after="0"/>
              <w:rPr>
                <w:sz w:val="20"/>
                <w:szCs w:val="20"/>
                <w:color w:val="auto"/>
              </w:rPr>
            </w:pPr>
            <w:r>
              <w:rPr>
                <w:rFonts w:ascii="Arial" w:cs="Arial" w:eastAsia="Arial" w:hAnsi="Arial"/>
                <w:sz w:val="18"/>
                <w:szCs w:val="18"/>
                <w:color w:val="auto"/>
                <w:w w:val="98"/>
              </w:rPr>
              <w:t>DEFINITIONS</w:t>
            </w:r>
          </w:p>
        </w:tc>
        <w:tc>
          <w:tcPr>
            <w:tcW w:w="1540" w:type="dxa"/>
            <w:vAlign w:val="bottom"/>
          </w:tcPr>
          <w:p>
            <w:pPr>
              <w:spacing w:after="0"/>
              <w:rPr>
                <w:sz w:val="24"/>
                <w:szCs w:val="24"/>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SECTION 1.01.</w:t>
            </w:r>
          </w:p>
        </w:tc>
        <w:tc>
          <w:tcPr>
            <w:tcW w:w="7880" w:type="dxa"/>
            <w:vAlign w:val="bottom"/>
            <w:gridSpan w:val="26"/>
          </w:tcPr>
          <w:p>
            <w:pPr>
              <w:spacing w:after="0"/>
              <w:rPr>
                <w:sz w:val="20"/>
                <w:szCs w:val="20"/>
                <w:color w:val="auto"/>
              </w:rPr>
            </w:pPr>
            <w:r>
              <w:rPr>
                <w:rFonts w:ascii="Arial" w:cs="Arial" w:eastAsia="Arial" w:hAnsi="Arial"/>
                <w:sz w:val="18"/>
                <w:szCs w:val="18"/>
                <w:color w:val="auto"/>
              </w:rPr>
              <w:t>Certain Terms Defined</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1.02.</w:t>
            </w:r>
          </w:p>
        </w:tc>
        <w:tc>
          <w:tcPr>
            <w:tcW w:w="1640" w:type="dxa"/>
            <w:vAlign w:val="bottom"/>
            <w:tcBorders>
              <w:top w:val="single" w:sz="8" w:color="auto"/>
            </w:tcBorders>
            <w:gridSpan w:val="7"/>
          </w:tcPr>
          <w:p>
            <w:pPr>
              <w:spacing w:after="0" w:line="196" w:lineRule="exact"/>
              <w:rPr>
                <w:sz w:val="20"/>
                <w:szCs w:val="20"/>
                <w:color w:val="auto"/>
              </w:rPr>
            </w:pPr>
            <w:r>
              <w:rPr>
                <w:rFonts w:ascii="Arial" w:cs="Arial" w:eastAsia="Arial" w:hAnsi="Arial"/>
                <w:sz w:val="18"/>
                <w:szCs w:val="18"/>
                <w:color w:val="auto"/>
              </w:rPr>
              <w:t>Other Definitions</w:t>
            </w:r>
          </w:p>
        </w:tc>
        <w:tc>
          <w:tcPr>
            <w:tcW w:w="6240" w:type="dxa"/>
            <w:vAlign w:val="bottom"/>
            <w:gridSpan w:val="19"/>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1.03.</w:t>
            </w:r>
          </w:p>
        </w:tc>
        <w:tc>
          <w:tcPr>
            <w:tcW w:w="7880" w:type="dxa"/>
            <w:vAlign w:val="bottom"/>
            <w:gridSpan w:val="26"/>
          </w:tcPr>
          <w:p>
            <w:pPr>
              <w:spacing w:after="0" w:line="196" w:lineRule="exact"/>
              <w:rPr>
                <w:sz w:val="20"/>
                <w:szCs w:val="20"/>
                <w:color w:val="auto"/>
              </w:rPr>
            </w:pPr>
            <w:r>
              <w:rPr>
                <w:rFonts w:ascii="Arial" w:cs="Arial" w:eastAsia="Arial" w:hAnsi="Arial"/>
                <w:sz w:val="18"/>
                <w:szCs w:val="18"/>
                <w:color w:val="auto"/>
              </w:rPr>
              <w:t>Rules of Construction</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345"/>
        </w:trPr>
        <w:tc>
          <w:tcPr>
            <w:tcW w:w="19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80" w:type="dxa"/>
            <w:vAlign w:val="bottom"/>
            <w:gridSpan w:val="7"/>
          </w:tcPr>
          <w:p>
            <w:pPr>
              <w:jc w:val="center"/>
              <w:ind w:right="3560"/>
              <w:spacing w:after="0"/>
              <w:rPr>
                <w:sz w:val="20"/>
                <w:szCs w:val="20"/>
                <w:color w:val="auto"/>
              </w:rPr>
            </w:pPr>
            <w:r>
              <w:rPr>
                <w:rFonts w:ascii="Arial" w:cs="Arial" w:eastAsia="Arial" w:hAnsi="Arial"/>
                <w:sz w:val="18"/>
                <w:szCs w:val="18"/>
                <w:color w:val="auto"/>
                <w:w w:val="96"/>
              </w:rPr>
              <w:t>ARTICLE 2</w:t>
            </w:r>
          </w:p>
        </w:tc>
        <w:tc>
          <w:tcPr>
            <w:tcW w:w="154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80" w:type="dxa"/>
            <w:vAlign w:val="bottom"/>
            <w:gridSpan w:val="8"/>
          </w:tcPr>
          <w:p>
            <w:pPr>
              <w:jc w:val="center"/>
              <w:ind w:right="3340"/>
              <w:spacing w:after="0"/>
              <w:rPr>
                <w:sz w:val="20"/>
                <w:szCs w:val="20"/>
                <w:color w:val="auto"/>
              </w:rPr>
            </w:pPr>
            <w:r>
              <w:rPr>
                <w:rFonts w:ascii="Arial" w:cs="Arial" w:eastAsia="Arial" w:hAnsi="Arial"/>
                <w:sz w:val="18"/>
                <w:szCs w:val="18"/>
                <w:color w:val="auto"/>
                <w:w w:val="95"/>
              </w:rPr>
              <w:t>SECURITY FORMS</w:t>
            </w:r>
          </w:p>
        </w:tc>
        <w:tc>
          <w:tcPr>
            <w:tcW w:w="1540" w:type="dxa"/>
            <w:vAlign w:val="bottom"/>
          </w:tcPr>
          <w:p>
            <w:pPr>
              <w:spacing w:after="0"/>
              <w:rPr>
                <w:sz w:val="24"/>
                <w:szCs w:val="24"/>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SECTION 2.01.</w:t>
            </w:r>
          </w:p>
        </w:tc>
        <w:tc>
          <w:tcPr>
            <w:tcW w:w="12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Forms Generally</w:t>
            </w:r>
          </w:p>
        </w:tc>
        <w:tc>
          <w:tcPr>
            <w:tcW w:w="6620" w:type="dxa"/>
            <w:vAlign w:val="bottom"/>
            <w:gridSpan w:val="22"/>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2.02.</w:t>
            </w:r>
          </w:p>
        </w:tc>
        <w:tc>
          <w:tcPr>
            <w:tcW w:w="7880" w:type="dxa"/>
            <w:vAlign w:val="bottom"/>
            <w:gridSpan w:val="26"/>
          </w:tcPr>
          <w:p>
            <w:pPr>
              <w:spacing w:after="0" w:line="196" w:lineRule="exact"/>
              <w:rPr>
                <w:sz w:val="20"/>
                <w:szCs w:val="20"/>
                <w:color w:val="auto"/>
              </w:rPr>
            </w:pPr>
            <w:r>
              <w:rPr>
                <w:rFonts w:ascii="Arial" w:cs="Arial" w:eastAsia="Arial" w:hAnsi="Arial"/>
                <w:sz w:val="18"/>
                <w:szCs w:val="18"/>
                <w:color w:val="auto"/>
              </w:rPr>
              <w:t>Guarantees by Guarantor; Form of Guarantee; Release of Guarantee</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2.03.</w:t>
            </w:r>
          </w:p>
        </w:tc>
        <w:tc>
          <w:tcPr>
            <w:tcW w:w="3400" w:type="dxa"/>
            <w:vAlign w:val="bottom"/>
            <w:tcBorders>
              <w:top w:val="single" w:sz="8" w:color="auto"/>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92"/>
              </w:rPr>
              <w:t>Form of Trustee’s Certificate of Authentication</w:t>
            </w:r>
          </w:p>
        </w:tc>
        <w:tc>
          <w:tcPr>
            <w:tcW w:w="1500" w:type="dxa"/>
            <w:vAlign w:val="bottom"/>
            <w:tcBorders>
              <w:top w:val="single" w:sz="8" w:color="auto"/>
            </w:tcBorders>
            <w:gridSpan w:val="4"/>
          </w:tcPr>
          <w:p>
            <w:pPr>
              <w:spacing w:after="0"/>
              <w:rPr>
                <w:sz w:val="17"/>
                <w:szCs w:val="17"/>
                <w:color w:val="auto"/>
              </w:rPr>
            </w:pPr>
          </w:p>
        </w:tc>
        <w:tc>
          <w:tcPr>
            <w:tcW w:w="2980" w:type="dxa"/>
            <w:vAlign w:val="bottom"/>
            <w:gridSpan w:val="2"/>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345"/>
        </w:trPr>
        <w:tc>
          <w:tcPr>
            <w:tcW w:w="1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80" w:type="dxa"/>
            <w:vAlign w:val="bottom"/>
            <w:gridSpan w:val="7"/>
          </w:tcPr>
          <w:p>
            <w:pPr>
              <w:jc w:val="center"/>
              <w:ind w:right="3560"/>
              <w:spacing w:after="0"/>
              <w:rPr>
                <w:sz w:val="20"/>
                <w:szCs w:val="20"/>
                <w:color w:val="auto"/>
              </w:rPr>
            </w:pPr>
            <w:r>
              <w:rPr>
                <w:rFonts w:ascii="Arial" w:cs="Arial" w:eastAsia="Arial" w:hAnsi="Arial"/>
                <w:sz w:val="18"/>
                <w:szCs w:val="18"/>
                <w:color w:val="auto"/>
                <w:w w:val="96"/>
              </w:rPr>
              <w:t>ARTICLE 3</w:t>
            </w:r>
          </w:p>
        </w:tc>
        <w:tc>
          <w:tcPr>
            <w:tcW w:w="154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gridSpan w:val="24"/>
          </w:tcPr>
          <w:p>
            <w:pPr>
              <w:jc w:val="center"/>
              <w:ind w:right="1260"/>
              <w:spacing w:after="0"/>
              <w:rPr>
                <w:sz w:val="20"/>
                <w:szCs w:val="20"/>
                <w:color w:val="auto"/>
              </w:rPr>
            </w:pPr>
            <w:r>
              <w:rPr>
                <w:rFonts w:ascii="Arial" w:cs="Arial" w:eastAsia="Arial" w:hAnsi="Arial"/>
                <w:sz w:val="18"/>
                <w:szCs w:val="18"/>
                <w:color w:val="auto"/>
                <w:w w:val="95"/>
              </w:rPr>
              <w:t>ISSUE, EXECUTION, FORM AND REGISTRATION OF SECURITIES</w:t>
            </w:r>
          </w:p>
        </w:tc>
        <w:tc>
          <w:tcPr>
            <w:tcW w:w="1540" w:type="dxa"/>
            <w:vAlign w:val="bottom"/>
          </w:tcPr>
          <w:p>
            <w:pPr>
              <w:spacing w:after="0"/>
              <w:rPr>
                <w:sz w:val="24"/>
                <w:szCs w:val="24"/>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SECTION 3.01.</w:t>
            </w:r>
          </w:p>
        </w:tc>
        <w:tc>
          <w:tcPr>
            <w:tcW w:w="2720" w:type="dxa"/>
            <w:vAlign w:val="bottom"/>
            <w:tcBorders>
              <w:bottom w:val="single" w:sz="8" w:color="auto"/>
            </w:tcBorders>
            <w:gridSpan w:val="17"/>
          </w:tcPr>
          <w:p>
            <w:pPr>
              <w:spacing w:after="0"/>
              <w:rPr>
                <w:sz w:val="20"/>
                <w:szCs w:val="20"/>
                <w:color w:val="auto"/>
              </w:rPr>
            </w:pPr>
            <w:r>
              <w:rPr>
                <w:rFonts w:ascii="Arial" w:cs="Arial" w:eastAsia="Arial" w:hAnsi="Arial"/>
                <w:sz w:val="18"/>
                <w:szCs w:val="18"/>
                <w:color w:val="auto"/>
                <w:w w:val="91"/>
              </w:rPr>
              <w:t>Amount Unlimited; Issuable in Series</w:t>
            </w:r>
          </w:p>
        </w:tc>
        <w:tc>
          <w:tcPr>
            <w:tcW w:w="5160" w:type="dxa"/>
            <w:vAlign w:val="bottom"/>
            <w:gridSpan w:val="9"/>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3.02.</w:t>
            </w:r>
          </w:p>
        </w:tc>
        <w:tc>
          <w:tcPr>
            <w:tcW w:w="300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2"/>
              </w:rPr>
              <w:t>Authentication and Delivery of Securities</w:t>
            </w:r>
          </w:p>
        </w:tc>
        <w:tc>
          <w:tcPr>
            <w:tcW w:w="4880" w:type="dxa"/>
            <w:vAlign w:val="bottom"/>
            <w:gridSpan w:val="8"/>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3.03.</w:t>
            </w:r>
          </w:p>
        </w:tc>
        <w:tc>
          <w:tcPr>
            <w:tcW w:w="168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0"/>
              </w:rPr>
              <w:t>Execution of Securities</w:t>
            </w:r>
          </w:p>
        </w:tc>
        <w:tc>
          <w:tcPr>
            <w:tcW w:w="6200" w:type="dxa"/>
            <w:vAlign w:val="bottom"/>
            <w:gridSpan w:val="18"/>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3.04.</w:t>
            </w:r>
          </w:p>
        </w:tc>
        <w:tc>
          <w:tcPr>
            <w:tcW w:w="7880" w:type="dxa"/>
            <w:vAlign w:val="bottom"/>
            <w:gridSpan w:val="26"/>
          </w:tcPr>
          <w:p>
            <w:pPr>
              <w:spacing w:after="0" w:line="196" w:lineRule="exact"/>
              <w:rPr>
                <w:sz w:val="20"/>
                <w:szCs w:val="20"/>
                <w:color w:val="auto"/>
              </w:rPr>
            </w:pPr>
            <w:r>
              <w:rPr>
                <w:rFonts w:ascii="Arial" w:cs="Arial" w:eastAsia="Arial" w:hAnsi="Arial"/>
                <w:sz w:val="18"/>
                <w:szCs w:val="18"/>
                <w:color w:val="auto"/>
              </w:rPr>
              <w:t>Certificate of Authentication</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3.05.</w:t>
            </w:r>
          </w:p>
        </w:tc>
        <w:tc>
          <w:tcPr>
            <w:tcW w:w="7880" w:type="dxa"/>
            <w:vAlign w:val="bottom"/>
            <w:gridSpan w:val="26"/>
          </w:tcPr>
          <w:p>
            <w:pPr>
              <w:spacing w:after="0" w:line="196" w:lineRule="exact"/>
              <w:rPr>
                <w:sz w:val="20"/>
                <w:szCs w:val="20"/>
                <w:color w:val="auto"/>
              </w:rPr>
            </w:pPr>
            <w:r>
              <w:rPr>
                <w:rFonts w:ascii="Arial" w:cs="Arial" w:eastAsia="Arial" w:hAnsi="Arial"/>
                <w:sz w:val="18"/>
                <w:szCs w:val="18"/>
                <w:color w:val="auto"/>
              </w:rPr>
              <w:t>Denomination, Currency and Date of Securities; Payments of Interest</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3.06.</w:t>
            </w:r>
          </w:p>
        </w:tc>
        <w:tc>
          <w:tcPr>
            <w:tcW w:w="1720" w:type="dxa"/>
            <w:vAlign w:val="bottom"/>
            <w:tcBorders>
              <w:top w:val="single" w:sz="8" w:color="auto"/>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0"/>
              </w:rPr>
              <w:t>Global Security Legend</w:t>
            </w:r>
          </w:p>
        </w:tc>
        <w:tc>
          <w:tcPr>
            <w:tcW w:w="3280" w:type="dxa"/>
            <w:vAlign w:val="bottom"/>
            <w:tcBorders>
              <w:top w:val="single" w:sz="8" w:color="auto"/>
            </w:tcBorders>
            <w:gridSpan w:val="16"/>
          </w:tcPr>
          <w:p>
            <w:pPr>
              <w:spacing w:after="0"/>
              <w:rPr>
                <w:sz w:val="17"/>
                <w:szCs w:val="17"/>
                <w:color w:val="auto"/>
              </w:rPr>
            </w:pPr>
          </w:p>
        </w:tc>
        <w:tc>
          <w:tcPr>
            <w:tcW w:w="288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3.07.</w:t>
            </w:r>
          </w:p>
        </w:tc>
        <w:tc>
          <w:tcPr>
            <w:tcW w:w="264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89"/>
              </w:rPr>
              <w:t>Registration, Transfer and Exchange</w:t>
            </w:r>
          </w:p>
        </w:tc>
        <w:tc>
          <w:tcPr>
            <w:tcW w:w="5240" w:type="dxa"/>
            <w:vAlign w:val="bottom"/>
            <w:gridSpan w:val="10"/>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3.08.</w:t>
            </w:r>
          </w:p>
        </w:tc>
        <w:tc>
          <w:tcPr>
            <w:tcW w:w="320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2"/>
              </w:rPr>
              <w:t>Book-Entry Provisions for Global Securities</w:t>
            </w:r>
          </w:p>
        </w:tc>
        <w:tc>
          <w:tcPr>
            <w:tcW w:w="4680" w:type="dxa"/>
            <w:vAlign w:val="bottom"/>
            <w:gridSpan w:val="7"/>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3.09.</w:t>
            </w:r>
          </w:p>
        </w:tc>
        <w:tc>
          <w:tcPr>
            <w:tcW w:w="4200" w:type="dxa"/>
            <w:vAlign w:val="bottom"/>
            <w:tcBorders>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90"/>
              </w:rPr>
              <w:t>Mutilated, Defaced, Destroyed, Lost and Stolen Securities</w:t>
            </w:r>
          </w:p>
        </w:tc>
        <w:tc>
          <w:tcPr>
            <w:tcW w:w="3680" w:type="dxa"/>
            <w:vAlign w:val="bottom"/>
            <w:gridSpan w:val="3"/>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3.10.</w:t>
            </w:r>
          </w:p>
        </w:tc>
        <w:tc>
          <w:tcPr>
            <w:tcW w:w="186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0"/>
              </w:rPr>
              <w:t>Cancellation of Securities</w:t>
            </w:r>
          </w:p>
        </w:tc>
        <w:tc>
          <w:tcPr>
            <w:tcW w:w="6020" w:type="dxa"/>
            <w:vAlign w:val="bottom"/>
            <w:gridSpan w:val="16"/>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3.11.</w:t>
            </w:r>
          </w:p>
        </w:tc>
        <w:tc>
          <w:tcPr>
            <w:tcW w:w="7880" w:type="dxa"/>
            <w:vAlign w:val="bottom"/>
            <w:gridSpan w:val="26"/>
          </w:tcPr>
          <w:p>
            <w:pPr>
              <w:spacing w:after="0" w:line="196" w:lineRule="exact"/>
              <w:rPr>
                <w:sz w:val="20"/>
                <w:szCs w:val="20"/>
                <w:color w:val="auto"/>
              </w:rPr>
            </w:pPr>
            <w:r>
              <w:rPr>
                <w:rFonts w:ascii="Arial" w:cs="Arial" w:eastAsia="Arial" w:hAnsi="Arial"/>
                <w:sz w:val="18"/>
                <w:szCs w:val="18"/>
                <w:color w:val="auto"/>
              </w:rPr>
              <w:t>Temporary Securities</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3.12.</w:t>
            </w:r>
          </w:p>
        </w:tc>
        <w:tc>
          <w:tcPr>
            <w:tcW w:w="7880" w:type="dxa"/>
            <w:vAlign w:val="bottom"/>
            <w:gridSpan w:val="26"/>
          </w:tcPr>
          <w:p>
            <w:pPr>
              <w:spacing w:after="0" w:line="196" w:lineRule="exact"/>
              <w:rPr>
                <w:sz w:val="20"/>
                <w:szCs w:val="20"/>
                <w:color w:val="auto"/>
              </w:rPr>
            </w:pPr>
            <w:r>
              <w:rPr>
                <w:rFonts w:ascii="Arial" w:cs="Arial" w:eastAsia="Arial" w:hAnsi="Arial"/>
                <w:sz w:val="18"/>
                <w:szCs w:val="18"/>
                <w:color w:val="auto"/>
              </w:rPr>
              <w:t>CUSIP and ISIN Numbers</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345"/>
        </w:trPr>
        <w:tc>
          <w:tcPr>
            <w:tcW w:w="19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80" w:type="dxa"/>
            <w:vAlign w:val="bottom"/>
            <w:gridSpan w:val="7"/>
          </w:tcPr>
          <w:p>
            <w:pPr>
              <w:jc w:val="center"/>
              <w:ind w:right="3560"/>
              <w:spacing w:after="0"/>
              <w:rPr>
                <w:sz w:val="20"/>
                <w:szCs w:val="20"/>
                <w:color w:val="auto"/>
              </w:rPr>
            </w:pPr>
            <w:r>
              <w:rPr>
                <w:rFonts w:ascii="Arial" w:cs="Arial" w:eastAsia="Arial" w:hAnsi="Arial"/>
                <w:sz w:val="18"/>
                <w:szCs w:val="18"/>
                <w:color w:val="auto"/>
                <w:w w:val="96"/>
              </w:rPr>
              <w:t>ARTICLE 4</w:t>
            </w:r>
          </w:p>
        </w:tc>
        <w:tc>
          <w:tcPr>
            <w:tcW w:w="154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60" w:type="dxa"/>
            <w:vAlign w:val="bottom"/>
            <w:gridSpan w:val="9"/>
          </w:tcPr>
          <w:p>
            <w:pPr>
              <w:jc w:val="center"/>
              <w:ind w:right="3060"/>
              <w:spacing w:after="0"/>
              <w:rPr>
                <w:sz w:val="20"/>
                <w:szCs w:val="20"/>
                <w:color w:val="auto"/>
              </w:rPr>
            </w:pPr>
            <w:r>
              <w:rPr>
                <w:rFonts w:ascii="Arial" w:cs="Arial" w:eastAsia="Arial" w:hAnsi="Arial"/>
                <w:sz w:val="18"/>
                <w:szCs w:val="18"/>
                <w:color w:val="auto"/>
                <w:w w:val="96"/>
              </w:rPr>
              <w:t>CERTAIN COVENANTS</w:t>
            </w:r>
          </w:p>
        </w:tc>
        <w:tc>
          <w:tcPr>
            <w:tcW w:w="1540" w:type="dxa"/>
            <w:vAlign w:val="bottom"/>
          </w:tcPr>
          <w:p>
            <w:pPr>
              <w:spacing w:after="0"/>
              <w:rPr>
                <w:sz w:val="24"/>
                <w:szCs w:val="24"/>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SECTION 4.01.</w:t>
            </w:r>
          </w:p>
        </w:tc>
        <w:tc>
          <w:tcPr>
            <w:tcW w:w="4140" w:type="dxa"/>
            <w:vAlign w:val="bottom"/>
            <w:tcBorders>
              <w:bottom w:val="single" w:sz="8" w:color="auto"/>
            </w:tcBorders>
            <w:gridSpan w:val="22"/>
          </w:tcPr>
          <w:p>
            <w:pPr>
              <w:spacing w:after="0"/>
              <w:rPr>
                <w:sz w:val="20"/>
                <w:szCs w:val="20"/>
                <w:color w:val="auto"/>
              </w:rPr>
            </w:pPr>
            <w:r>
              <w:rPr>
                <w:rFonts w:ascii="Arial" w:cs="Arial" w:eastAsia="Arial" w:hAnsi="Arial"/>
                <w:sz w:val="18"/>
                <w:szCs w:val="18"/>
                <w:color w:val="auto"/>
                <w:w w:val="90"/>
              </w:rPr>
              <w:t>Payment of Principal, Premium and Interest on Securities</w:t>
            </w:r>
          </w:p>
        </w:tc>
        <w:tc>
          <w:tcPr>
            <w:tcW w:w="3740" w:type="dxa"/>
            <w:vAlign w:val="bottom"/>
            <w:gridSpan w:val="4"/>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4.02.</w:t>
            </w:r>
          </w:p>
        </w:tc>
        <w:tc>
          <w:tcPr>
            <w:tcW w:w="7880" w:type="dxa"/>
            <w:vAlign w:val="bottom"/>
            <w:gridSpan w:val="26"/>
          </w:tcPr>
          <w:p>
            <w:pPr>
              <w:spacing w:after="0" w:line="196" w:lineRule="exact"/>
              <w:rPr>
                <w:sz w:val="20"/>
                <w:szCs w:val="20"/>
                <w:color w:val="auto"/>
              </w:rPr>
            </w:pPr>
            <w:r>
              <w:rPr>
                <w:rFonts w:ascii="Arial" w:cs="Arial" w:eastAsia="Arial" w:hAnsi="Arial"/>
                <w:sz w:val="18"/>
                <w:szCs w:val="18"/>
                <w:color w:val="auto"/>
              </w:rPr>
              <w:t>Maintenance of Office or Agency</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gridSpan w:val="9"/>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4.03.</w:t>
            </w:r>
          </w:p>
        </w:tc>
        <w:tc>
          <w:tcPr>
            <w:tcW w:w="7880" w:type="dxa"/>
            <w:vAlign w:val="bottom"/>
            <w:gridSpan w:val="26"/>
          </w:tcPr>
          <w:p>
            <w:pPr>
              <w:spacing w:after="0" w:line="196" w:lineRule="exact"/>
              <w:rPr>
                <w:sz w:val="20"/>
                <w:szCs w:val="20"/>
                <w:color w:val="auto"/>
              </w:rPr>
            </w:pPr>
            <w:r>
              <w:rPr>
                <w:rFonts w:ascii="Arial" w:cs="Arial" w:eastAsia="Arial" w:hAnsi="Arial"/>
                <w:sz w:val="18"/>
                <w:szCs w:val="18"/>
                <w:color w:val="auto"/>
              </w:rPr>
              <w:t>Money for Securities Payments to be Held in Trust</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4.04.</w:t>
            </w:r>
          </w:p>
        </w:tc>
        <w:tc>
          <w:tcPr>
            <w:tcW w:w="7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7"/>
              </w:rPr>
              <w:t>Existence</w:t>
            </w:r>
          </w:p>
        </w:tc>
        <w:tc>
          <w:tcPr>
            <w:tcW w:w="2960" w:type="dxa"/>
            <w:vAlign w:val="bottom"/>
            <w:tcBorders>
              <w:top w:val="single" w:sz="8" w:color="auto"/>
            </w:tcBorders>
            <w:gridSpan w:val="20"/>
          </w:tcPr>
          <w:p>
            <w:pPr>
              <w:spacing w:after="0"/>
              <w:rPr>
                <w:sz w:val="17"/>
                <w:szCs w:val="17"/>
                <w:color w:val="auto"/>
              </w:rPr>
            </w:pPr>
          </w:p>
        </w:tc>
        <w:tc>
          <w:tcPr>
            <w:tcW w:w="4220" w:type="dxa"/>
            <w:vAlign w:val="bottom"/>
            <w:gridSpan w:val="5"/>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4.05.</w:t>
            </w:r>
          </w:p>
        </w:tc>
        <w:tc>
          <w:tcPr>
            <w:tcW w:w="254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0"/>
              </w:rPr>
              <w:t>Statement by Officers as to Default</w:t>
            </w:r>
          </w:p>
        </w:tc>
        <w:tc>
          <w:tcPr>
            <w:tcW w:w="5340" w:type="dxa"/>
            <w:vAlign w:val="bottom"/>
            <w:gridSpan w:val="11"/>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4.06.</w:t>
            </w:r>
          </w:p>
        </w:tc>
        <w:tc>
          <w:tcPr>
            <w:tcW w:w="7880" w:type="dxa"/>
            <w:vAlign w:val="bottom"/>
            <w:gridSpan w:val="26"/>
          </w:tcPr>
          <w:p>
            <w:pPr>
              <w:spacing w:after="0" w:line="196" w:lineRule="exact"/>
              <w:rPr>
                <w:sz w:val="20"/>
                <w:szCs w:val="20"/>
                <w:color w:val="auto"/>
              </w:rPr>
            </w:pPr>
            <w:r>
              <w:rPr>
                <w:rFonts w:ascii="Arial" w:cs="Arial" w:eastAsia="Arial" w:hAnsi="Arial"/>
                <w:sz w:val="18"/>
                <w:szCs w:val="18"/>
                <w:color w:val="auto"/>
              </w:rPr>
              <w:t>Waiver of Certain Covenants</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345"/>
        </w:trPr>
        <w:tc>
          <w:tcPr>
            <w:tcW w:w="19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80" w:type="dxa"/>
            <w:vAlign w:val="bottom"/>
            <w:gridSpan w:val="7"/>
          </w:tcPr>
          <w:p>
            <w:pPr>
              <w:jc w:val="center"/>
              <w:ind w:right="3560"/>
              <w:spacing w:after="0"/>
              <w:rPr>
                <w:sz w:val="20"/>
                <w:szCs w:val="20"/>
                <w:color w:val="auto"/>
              </w:rPr>
            </w:pPr>
            <w:r>
              <w:rPr>
                <w:rFonts w:ascii="Arial" w:cs="Arial" w:eastAsia="Arial" w:hAnsi="Arial"/>
                <w:sz w:val="18"/>
                <w:szCs w:val="18"/>
                <w:color w:val="auto"/>
                <w:w w:val="96"/>
              </w:rPr>
              <w:t>ARTICLE 5</w:t>
            </w:r>
          </w:p>
        </w:tc>
        <w:tc>
          <w:tcPr>
            <w:tcW w:w="154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180" w:type="dxa"/>
            <w:vAlign w:val="bottom"/>
            <w:gridSpan w:val="25"/>
          </w:tcPr>
          <w:p>
            <w:pPr>
              <w:jc w:val="center"/>
              <w:ind w:right="1060"/>
              <w:spacing w:after="0"/>
              <w:rPr>
                <w:sz w:val="20"/>
                <w:szCs w:val="20"/>
                <w:color w:val="auto"/>
              </w:rPr>
            </w:pPr>
            <w:r>
              <w:rPr>
                <w:rFonts w:ascii="Arial" w:cs="Arial" w:eastAsia="Arial" w:hAnsi="Arial"/>
                <w:sz w:val="18"/>
                <w:szCs w:val="18"/>
                <w:color w:val="auto"/>
                <w:w w:val="95"/>
              </w:rPr>
              <w:t>REMEDIES OF THE TRUSTEE AND HOLDERS ON EVENT OF DEFAULT</w:t>
            </w:r>
          </w:p>
        </w:tc>
        <w:tc>
          <w:tcPr>
            <w:tcW w:w="1540" w:type="dxa"/>
            <w:vAlign w:val="bottom"/>
          </w:tcPr>
          <w:p>
            <w:pPr>
              <w:spacing w:after="0"/>
              <w:rPr>
                <w:sz w:val="24"/>
                <w:szCs w:val="24"/>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SECTION 5.01.</w:t>
            </w:r>
          </w:p>
        </w:tc>
        <w:tc>
          <w:tcPr>
            <w:tcW w:w="7880" w:type="dxa"/>
            <w:vAlign w:val="bottom"/>
            <w:gridSpan w:val="26"/>
          </w:tcPr>
          <w:p>
            <w:pPr>
              <w:spacing w:after="0"/>
              <w:rPr>
                <w:sz w:val="20"/>
                <w:szCs w:val="20"/>
                <w:color w:val="auto"/>
              </w:rPr>
            </w:pPr>
            <w:r>
              <w:rPr>
                <w:rFonts w:ascii="Arial" w:cs="Arial" w:eastAsia="Arial" w:hAnsi="Arial"/>
                <w:sz w:val="18"/>
                <w:szCs w:val="18"/>
                <w:color w:val="auto"/>
              </w:rPr>
              <w:t>Events of Default</w:t>
            </w: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5.02.</w:t>
            </w:r>
          </w:p>
        </w:tc>
        <w:tc>
          <w:tcPr>
            <w:tcW w:w="92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0"/>
              </w:rPr>
              <w:t>Acceleration</w:t>
            </w:r>
          </w:p>
        </w:tc>
        <w:tc>
          <w:tcPr>
            <w:tcW w:w="340" w:type="dxa"/>
            <w:vAlign w:val="bottom"/>
            <w:tcBorders>
              <w:top w:val="single" w:sz="8" w:color="auto"/>
            </w:tcBorders>
            <w:gridSpan w:val="2"/>
          </w:tcPr>
          <w:p>
            <w:pPr>
              <w:spacing w:after="0"/>
              <w:rPr>
                <w:sz w:val="17"/>
                <w:szCs w:val="17"/>
                <w:color w:val="auto"/>
              </w:rPr>
            </w:pPr>
          </w:p>
        </w:tc>
        <w:tc>
          <w:tcPr>
            <w:tcW w:w="6620" w:type="dxa"/>
            <w:vAlign w:val="bottom"/>
            <w:gridSpan w:val="22"/>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5.03.</w:t>
            </w:r>
          </w:p>
        </w:tc>
        <w:tc>
          <w:tcPr>
            <w:tcW w:w="7880" w:type="dxa"/>
            <w:vAlign w:val="bottom"/>
            <w:gridSpan w:val="26"/>
          </w:tcPr>
          <w:p>
            <w:pPr>
              <w:spacing w:after="0" w:line="196" w:lineRule="exact"/>
              <w:rPr>
                <w:sz w:val="20"/>
                <w:szCs w:val="20"/>
                <w:color w:val="auto"/>
              </w:rPr>
            </w:pPr>
            <w:r>
              <w:rPr>
                <w:rFonts w:ascii="Arial" w:cs="Arial" w:eastAsia="Arial" w:hAnsi="Arial"/>
                <w:sz w:val="18"/>
                <w:szCs w:val="18"/>
                <w:color w:val="auto"/>
              </w:rPr>
              <w:t>Other Remedies</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1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60" w:type="dxa"/>
            <w:vAlign w:val="bottom"/>
            <w:gridSpan w:val="15"/>
          </w:tcPr>
          <w:p>
            <w:pPr>
              <w:jc w:val="center"/>
              <w:ind w:right="3240"/>
              <w:spacing w:after="0"/>
              <w:rPr>
                <w:sz w:val="20"/>
                <w:szCs w:val="20"/>
                <w:color w:val="auto"/>
              </w:rPr>
            </w:pPr>
            <w:r>
              <w:rPr>
                <w:rFonts w:ascii="Arial" w:cs="Arial" w:eastAsia="Arial" w:hAnsi="Arial"/>
                <w:sz w:val="18"/>
                <w:szCs w:val="18"/>
                <w:b w:val="1"/>
                <w:bCs w:val="1"/>
                <w:color w:val="auto"/>
                <w:w w:val="98"/>
              </w:rPr>
              <w:t>TABLE OF CONTENTS</w:t>
            </w:r>
          </w:p>
        </w:tc>
        <w:tc>
          <w:tcPr>
            <w:tcW w:w="1300" w:type="dxa"/>
            <w:vAlign w:val="bottom"/>
          </w:tcPr>
          <w:p>
            <w:pPr>
              <w:spacing w:after="0"/>
              <w:rPr>
                <w:sz w:val="20"/>
                <w:szCs w:val="20"/>
                <w:color w:val="auto"/>
              </w:rPr>
            </w:pPr>
          </w:p>
        </w:tc>
      </w:tr>
      <w:tr>
        <w:trPr>
          <w:trHeight w:val="432"/>
        </w:trPr>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gridSpan w:val="10"/>
          </w:tcPr>
          <w:p>
            <w:pPr>
              <w:jc w:val="center"/>
              <w:ind w:right="3680"/>
              <w:spacing w:after="0"/>
              <w:rPr>
                <w:sz w:val="20"/>
                <w:szCs w:val="20"/>
                <w:color w:val="auto"/>
              </w:rPr>
            </w:pPr>
            <w:r>
              <w:rPr>
                <w:rFonts w:ascii="Arial" w:cs="Arial" w:eastAsia="Arial" w:hAnsi="Arial"/>
                <w:sz w:val="18"/>
                <w:szCs w:val="18"/>
                <w:b w:val="1"/>
                <w:bCs w:val="1"/>
                <w:color w:val="auto"/>
                <w:w w:val="89"/>
              </w:rPr>
              <w:t>(continued)</w:t>
            </w:r>
          </w:p>
        </w:tc>
        <w:tc>
          <w:tcPr>
            <w:tcW w:w="1300" w:type="dxa"/>
            <w:vAlign w:val="bottom"/>
          </w:tcPr>
          <w:p>
            <w:pPr>
              <w:spacing w:after="0"/>
              <w:rPr>
                <w:sz w:val="24"/>
                <w:szCs w:val="24"/>
                <w:color w:val="auto"/>
              </w:rPr>
            </w:pPr>
          </w:p>
        </w:tc>
      </w:tr>
      <w:tr>
        <w:trPr>
          <w:trHeight w:val="312"/>
        </w:trPr>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9"/>
        </w:trPr>
        <w:tc>
          <w:tcPr>
            <w:tcW w:w="1900" w:type="dxa"/>
            <w:vAlign w:val="bottom"/>
          </w:tcPr>
          <w:p>
            <w:pPr>
              <w:spacing w:after="0"/>
              <w:rPr>
                <w:sz w:val="20"/>
                <w:szCs w:val="20"/>
                <w:color w:val="auto"/>
              </w:rPr>
            </w:pPr>
            <w:r>
              <w:rPr>
                <w:rFonts w:ascii="Arial" w:cs="Arial" w:eastAsia="Arial" w:hAnsi="Arial"/>
                <w:sz w:val="18"/>
                <w:szCs w:val="18"/>
                <w:color w:val="auto"/>
              </w:rPr>
              <w:t>SECTION 5.04.</w:t>
            </w:r>
          </w:p>
        </w:tc>
        <w:tc>
          <w:tcPr>
            <w:tcW w:w="8120" w:type="dxa"/>
            <w:vAlign w:val="bottom"/>
            <w:gridSpan w:val="32"/>
          </w:tcPr>
          <w:p>
            <w:pPr>
              <w:spacing w:after="0"/>
              <w:rPr>
                <w:sz w:val="20"/>
                <w:szCs w:val="20"/>
                <w:color w:val="auto"/>
              </w:rPr>
            </w:pPr>
            <w:r>
              <w:rPr>
                <w:rFonts w:ascii="Arial" w:cs="Arial" w:eastAsia="Arial" w:hAnsi="Arial"/>
                <w:sz w:val="18"/>
                <w:szCs w:val="18"/>
                <w:color w:val="auto"/>
              </w:rPr>
              <w:t>Waiver of Past Defaults</w:t>
            </w: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5.05.</w:t>
            </w:r>
          </w:p>
        </w:tc>
        <w:tc>
          <w:tcPr>
            <w:tcW w:w="170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18"/>
                <w:szCs w:val="18"/>
                <w:color w:val="auto"/>
              </w:rPr>
              <w:t>Control by Majority</w:t>
            </w:r>
          </w:p>
        </w:tc>
        <w:tc>
          <w:tcPr>
            <w:tcW w:w="6420" w:type="dxa"/>
            <w:vAlign w:val="bottom"/>
            <w:gridSpan w:val="26"/>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5.06.</w:t>
            </w:r>
          </w:p>
        </w:tc>
        <w:tc>
          <w:tcPr>
            <w:tcW w:w="144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w w:val="96"/>
              </w:rPr>
              <w:t>Limitation on Suits</w:t>
            </w:r>
          </w:p>
        </w:tc>
        <w:tc>
          <w:tcPr>
            <w:tcW w:w="6680" w:type="dxa"/>
            <w:vAlign w:val="bottom"/>
            <w:gridSpan w:val="28"/>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19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5.07.</w:t>
            </w:r>
          </w:p>
        </w:tc>
        <w:tc>
          <w:tcPr>
            <w:tcW w:w="8120" w:type="dxa"/>
            <w:vAlign w:val="bottom"/>
            <w:gridSpan w:val="32"/>
          </w:tcPr>
          <w:p>
            <w:pPr>
              <w:spacing w:after="0" w:line="196" w:lineRule="exact"/>
              <w:rPr>
                <w:sz w:val="20"/>
                <w:szCs w:val="20"/>
                <w:color w:val="auto"/>
              </w:rPr>
            </w:pPr>
            <w:r>
              <w:rPr>
                <w:rFonts w:ascii="Arial" w:cs="Arial" w:eastAsia="Arial" w:hAnsi="Arial"/>
                <w:sz w:val="18"/>
                <w:szCs w:val="18"/>
                <w:color w:val="auto"/>
              </w:rPr>
              <w:t>Rights of Holders to Receive Payment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5.08.</w:t>
            </w:r>
          </w:p>
        </w:tc>
        <w:tc>
          <w:tcPr>
            <w:tcW w:w="2760" w:type="dxa"/>
            <w:vAlign w:val="bottom"/>
            <w:tcBorders>
              <w:top w:val="single" w:sz="8" w:color="auto"/>
            </w:tcBorders>
            <w:gridSpan w:val="17"/>
          </w:tcPr>
          <w:p>
            <w:pPr>
              <w:spacing w:after="0" w:line="196" w:lineRule="exact"/>
              <w:rPr>
                <w:sz w:val="20"/>
                <w:szCs w:val="20"/>
                <w:color w:val="auto"/>
              </w:rPr>
            </w:pPr>
            <w:r>
              <w:rPr>
                <w:rFonts w:ascii="Arial" w:cs="Arial" w:eastAsia="Arial" w:hAnsi="Arial"/>
                <w:sz w:val="18"/>
                <w:szCs w:val="18"/>
                <w:color w:val="auto"/>
              </w:rPr>
              <w:t>Collection Suit by Trustee</w:t>
            </w:r>
          </w:p>
        </w:tc>
        <w:tc>
          <w:tcPr>
            <w:tcW w:w="5360" w:type="dxa"/>
            <w:vAlign w:val="bottom"/>
            <w:gridSpan w:val="15"/>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19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5.09.</w:t>
            </w:r>
          </w:p>
        </w:tc>
        <w:tc>
          <w:tcPr>
            <w:tcW w:w="244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2"/>
              </w:rPr>
              <w:t>Trustee May File Proofs of Claim</w:t>
            </w:r>
          </w:p>
        </w:tc>
        <w:tc>
          <w:tcPr>
            <w:tcW w:w="5680" w:type="dxa"/>
            <w:vAlign w:val="bottom"/>
            <w:gridSpan w:val="19"/>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5.10.</w:t>
            </w:r>
          </w:p>
        </w:tc>
        <w:tc>
          <w:tcPr>
            <w:tcW w:w="6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1"/>
              </w:rPr>
              <w:t>Priorities</w:t>
            </w:r>
          </w:p>
        </w:tc>
        <w:tc>
          <w:tcPr>
            <w:tcW w:w="7460" w:type="dxa"/>
            <w:vAlign w:val="bottom"/>
            <w:gridSpan w:val="31"/>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5.11.</w:t>
            </w:r>
          </w:p>
        </w:tc>
        <w:tc>
          <w:tcPr>
            <w:tcW w:w="160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0"/>
              </w:rPr>
              <w:t>Undertaking for Costs</w:t>
            </w:r>
          </w:p>
        </w:tc>
        <w:tc>
          <w:tcPr>
            <w:tcW w:w="6520" w:type="dxa"/>
            <w:vAlign w:val="bottom"/>
            <w:gridSpan w:val="27"/>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5.12.</w:t>
            </w:r>
          </w:p>
        </w:tc>
        <w:tc>
          <w:tcPr>
            <w:tcW w:w="260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89"/>
              </w:rPr>
              <w:t>Restoration of Rights and Remedies</w:t>
            </w:r>
          </w:p>
        </w:tc>
        <w:tc>
          <w:tcPr>
            <w:tcW w:w="5520" w:type="dxa"/>
            <w:vAlign w:val="bottom"/>
            <w:gridSpan w:val="17"/>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5.13.</w:t>
            </w:r>
          </w:p>
        </w:tc>
        <w:tc>
          <w:tcPr>
            <w:tcW w:w="242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89"/>
              </w:rPr>
              <w:t>Rights and Remedies Cumulative</w:t>
            </w:r>
          </w:p>
        </w:tc>
        <w:tc>
          <w:tcPr>
            <w:tcW w:w="5700" w:type="dxa"/>
            <w:vAlign w:val="bottom"/>
            <w:gridSpan w:val="20"/>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5.14.</w:t>
            </w:r>
          </w:p>
        </w:tc>
        <w:tc>
          <w:tcPr>
            <w:tcW w:w="8120" w:type="dxa"/>
            <w:vAlign w:val="bottom"/>
            <w:gridSpan w:val="32"/>
          </w:tcPr>
          <w:p>
            <w:pPr>
              <w:spacing w:after="0" w:line="196" w:lineRule="exact"/>
              <w:rPr>
                <w:sz w:val="20"/>
                <w:szCs w:val="20"/>
                <w:color w:val="auto"/>
              </w:rPr>
            </w:pPr>
            <w:r>
              <w:rPr>
                <w:rFonts w:ascii="Arial" w:cs="Arial" w:eastAsia="Arial" w:hAnsi="Arial"/>
                <w:sz w:val="18"/>
                <w:szCs w:val="18"/>
                <w:color w:val="auto"/>
              </w:rPr>
              <w:t>Delay or Omission Not Waiver</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345"/>
        </w:trPr>
        <w:tc>
          <w:tcPr>
            <w:tcW w:w="19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gridSpan w:val="10"/>
          </w:tcPr>
          <w:p>
            <w:pPr>
              <w:jc w:val="center"/>
              <w:ind w:right="3800"/>
              <w:spacing w:after="0"/>
              <w:rPr>
                <w:sz w:val="20"/>
                <w:szCs w:val="20"/>
                <w:color w:val="auto"/>
              </w:rPr>
            </w:pPr>
            <w:r>
              <w:rPr>
                <w:rFonts w:ascii="Arial" w:cs="Arial" w:eastAsia="Arial" w:hAnsi="Arial"/>
                <w:sz w:val="18"/>
                <w:szCs w:val="18"/>
                <w:color w:val="auto"/>
                <w:w w:val="96"/>
              </w:rPr>
              <w:t>ARTICLE 6</w:t>
            </w:r>
          </w:p>
        </w:tc>
        <w:tc>
          <w:tcPr>
            <w:tcW w:w="130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gridSpan w:val="11"/>
          </w:tcPr>
          <w:p>
            <w:pPr>
              <w:jc w:val="center"/>
              <w:ind w:right="3740"/>
              <w:spacing w:after="0"/>
              <w:rPr>
                <w:sz w:val="20"/>
                <w:szCs w:val="20"/>
                <w:color w:val="auto"/>
              </w:rPr>
            </w:pPr>
            <w:r>
              <w:rPr>
                <w:rFonts w:ascii="Arial" w:cs="Arial" w:eastAsia="Arial" w:hAnsi="Arial"/>
                <w:sz w:val="18"/>
                <w:szCs w:val="18"/>
                <w:color w:val="auto"/>
                <w:w w:val="94"/>
              </w:rPr>
              <w:t>THE TRUSTEE</w:t>
            </w:r>
          </w:p>
        </w:tc>
        <w:tc>
          <w:tcPr>
            <w:tcW w:w="1300" w:type="dxa"/>
            <w:vAlign w:val="bottom"/>
          </w:tcPr>
          <w:p>
            <w:pPr>
              <w:spacing w:after="0"/>
              <w:rPr>
                <w:sz w:val="24"/>
                <w:szCs w:val="24"/>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SECTION 6.01.</w:t>
            </w:r>
          </w:p>
        </w:tc>
        <w:tc>
          <w:tcPr>
            <w:tcW w:w="8120" w:type="dxa"/>
            <w:vAlign w:val="bottom"/>
            <w:gridSpan w:val="32"/>
          </w:tcPr>
          <w:p>
            <w:pPr>
              <w:spacing w:after="0"/>
              <w:rPr>
                <w:sz w:val="20"/>
                <w:szCs w:val="20"/>
                <w:color w:val="auto"/>
              </w:rPr>
            </w:pPr>
            <w:r>
              <w:rPr>
                <w:rFonts w:ascii="Arial" w:cs="Arial" w:eastAsia="Arial" w:hAnsi="Arial"/>
                <w:sz w:val="18"/>
                <w:szCs w:val="18"/>
                <w:color w:val="auto"/>
              </w:rPr>
              <w:t>Duties and Responsibilities of the Trustee; During Default; Prior to Default</w:t>
            </w: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6.02.</w:t>
            </w:r>
          </w:p>
        </w:tc>
        <w:tc>
          <w:tcPr>
            <w:tcW w:w="5420" w:type="dxa"/>
            <w:vAlign w:val="bottom"/>
            <w:tcBorders>
              <w:top w:val="single" w:sz="8" w:color="auto"/>
            </w:tcBorders>
            <w:gridSpan w:val="29"/>
          </w:tcPr>
          <w:p>
            <w:pPr>
              <w:spacing w:after="0" w:line="196" w:lineRule="exact"/>
              <w:rPr>
                <w:sz w:val="20"/>
                <w:szCs w:val="20"/>
                <w:color w:val="auto"/>
              </w:rPr>
            </w:pPr>
            <w:r>
              <w:rPr>
                <w:rFonts w:ascii="Arial" w:cs="Arial" w:eastAsia="Arial" w:hAnsi="Arial"/>
                <w:sz w:val="18"/>
                <w:szCs w:val="18"/>
                <w:color w:val="auto"/>
              </w:rPr>
              <w:t>Certain Rights of the Trustee</w:t>
            </w:r>
          </w:p>
        </w:tc>
        <w:tc>
          <w:tcPr>
            <w:tcW w:w="2700" w:type="dxa"/>
            <w:vAlign w:val="bottom"/>
            <w:gridSpan w:val="3"/>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19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6.03.</w:t>
            </w:r>
          </w:p>
        </w:tc>
        <w:tc>
          <w:tcPr>
            <w:tcW w:w="7120" w:type="dxa"/>
            <w:vAlign w:val="bottom"/>
            <w:tcBorders>
              <w:bottom w:val="single" w:sz="8" w:color="auto"/>
            </w:tcBorders>
            <w:gridSpan w:val="31"/>
          </w:tcPr>
          <w:p>
            <w:pPr>
              <w:spacing w:after="0" w:line="196" w:lineRule="exact"/>
              <w:rPr>
                <w:sz w:val="20"/>
                <w:szCs w:val="20"/>
                <w:color w:val="auto"/>
              </w:rPr>
            </w:pPr>
            <w:r>
              <w:rPr>
                <w:rFonts w:ascii="Arial" w:cs="Arial" w:eastAsia="Arial" w:hAnsi="Arial"/>
                <w:sz w:val="18"/>
                <w:szCs w:val="18"/>
                <w:color w:val="auto"/>
                <w:w w:val="91"/>
              </w:rPr>
              <w:t>Trustee Not Responsible for Recitals, Disposition of Securities or Application of Proceeds Thereof</w:t>
            </w:r>
          </w:p>
        </w:tc>
        <w:tc>
          <w:tcPr>
            <w:tcW w:w="100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6.04.</w:t>
            </w:r>
          </w:p>
        </w:tc>
        <w:tc>
          <w:tcPr>
            <w:tcW w:w="4180" w:type="dxa"/>
            <w:vAlign w:val="bottom"/>
            <w:tcBorders>
              <w:bottom w:val="single" w:sz="8" w:color="auto"/>
            </w:tcBorders>
            <w:gridSpan w:val="25"/>
          </w:tcPr>
          <w:p>
            <w:pPr>
              <w:spacing w:after="0" w:line="196" w:lineRule="exact"/>
              <w:rPr>
                <w:sz w:val="20"/>
                <w:szCs w:val="20"/>
                <w:color w:val="auto"/>
              </w:rPr>
            </w:pPr>
            <w:r>
              <w:rPr>
                <w:rFonts w:ascii="Arial" w:cs="Arial" w:eastAsia="Arial" w:hAnsi="Arial"/>
                <w:sz w:val="18"/>
                <w:szCs w:val="18"/>
                <w:color w:val="auto"/>
                <w:w w:val="91"/>
              </w:rPr>
              <w:t>Trustee and Agents May Hold Securities; Collections, Etc</w:t>
            </w:r>
          </w:p>
        </w:tc>
        <w:tc>
          <w:tcPr>
            <w:tcW w:w="3940" w:type="dxa"/>
            <w:vAlign w:val="bottom"/>
            <w:gridSpan w:val="7"/>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6.05.</w:t>
            </w:r>
          </w:p>
        </w:tc>
        <w:tc>
          <w:tcPr>
            <w:tcW w:w="178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0"/>
              </w:rPr>
              <w:t>Moneys Held by Trustee</w:t>
            </w:r>
          </w:p>
        </w:tc>
        <w:tc>
          <w:tcPr>
            <w:tcW w:w="6340" w:type="dxa"/>
            <w:vAlign w:val="bottom"/>
            <w:gridSpan w:val="25"/>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6.06.</w:t>
            </w:r>
          </w:p>
        </w:tc>
        <w:tc>
          <w:tcPr>
            <w:tcW w:w="12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3"/>
              </w:rPr>
              <w:t>Notice of Default</w:t>
            </w:r>
          </w:p>
        </w:tc>
        <w:tc>
          <w:tcPr>
            <w:tcW w:w="6860" w:type="dxa"/>
            <w:vAlign w:val="bottom"/>
            <w:gridSpan w:val="30"/>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6.07.</w:t>
            </w:r>
          </w:p>
        </w:tc>
        <w:tc>
          <w:tcPr>
            <w:tcW w:w="4740" w:type="dxa"/>
            <w:vAlign w:val="bottom"/>
            <w:tcBorders>
              <w:bottom w:val="single" w:sz="8" w:color="auto"/>
            </w:tcBorders>
            <w:gridSpan w:val="27"/>
          </w:tcPr>
          <w:p>
            <w:pPr>
              <w:spacing w:after="0" w:line="196" w:lineRule="exact"/>
              <w:rPr>
                <w:sz w:val="20"/>
                <w:szCs w:val="20"/>
                <w:color w:val="auto"/>
              </w:rPr>
            </w:pPr>
            <w:r>
              <w:rPr>
                <w:rFonts w:ascii="Arial" w:cs="Arial" w:eastAsia="Arial" w:hAnsi="Arial"/>
                <w:sz w:val="18"/>
                <w:szCs w:val="18"/>
                <w:color w:val="auto"/>
                <w:w w:val="91"/>
              </w:rPr>
              <w:t>Compensation and Indemnification of Trustee and Its Prior Claim</w:t>
            </w:r>
          </w:p>
        </w:tc>
        <w:tc>
          <w:tcPr>
            <w:tcW w:w="3380" w:type="dxa"/>
            <w:vAlign w:val="bottom"/>
            <w:gridSpan w:val="5"/>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6.08.</w:t>
            </w:r>
          </w:p>
        </w:tc>
        <w:tc>
          <w:tcPr>
            <w:tcW w:w="3800" w:type="dxa"/>
            <w:vAlign w:val="bottom"/>
            <w:tcBorders>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92"/>
              </w:rPr>
              <w:t>Right of Trustee to Rely on Officers’ Certificate, Etc</w:t>
            </w:r>
          </w:p>
        </w:tc>
        <w:tc>
          <w:tcPr>
            <w:tcW w:w="4320" w:type="dxa"/>
            <w:vAlign w:val="bottom"/>
            <w:gridSpan w:val="9"/>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6.09.</w:t>
            </w:r>
          </w:p>
        </w:tc>
        <w:tc>
          <w:tcPr>
            <w:tcW w:w="3200" w:type="dxa"/>
            <w:vAlign w:val="bottom"/>
            <w:tcBorders>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90"/>
              </w:rPr>
              <w:t>Persons Eligible for Appointment as Trustee</w:t>
            </w:r>
          </w:p>
        </w:tc>
        <w:tc>
          <w:tcPr>
            <w:tcW w:w="4920" w:type="dxa"/>
            <w:vAlign w:val="bottom"/>
            <w:gridSpan w:val="10"/>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6.10.</w:t>
            </w:r>
          </w:p>
        </w:tc>
        <w:tc>
          <w:tcPr>
            <w:tcW w:w="8120" w:type="dxa"/>
            <w:vAlign w:val="bottom"/>
            <w:gridSpan w:val="32"/>
          </w:tcPr>
          <w:p>
            <w:pPr>
              <w:spacing w:after="0" w:line="196" w:lineRule="exact"/>
              <w:rPr>
                <w:sz w:val="20"/>
                <w:szCs w:val="20"/>
                <w:color w:val="auto"/>
              </w:rPr>
            </w:pPr>
            <w:r>
              <w:rPr>
                <w:rFonts w:ascii="Arial" w:cs="Arial" w:eastAsia="Arial" w:hAnsi="Arial"/>
                <w:sz w:val="18"/>
                <w:szCs w:val="18"/>
                <w:color w:val="auto"/>
              </w:rPr>
              <w:t>Resignation and Removal; Appointment of Successor Trustee</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6.11.</w:t>
            </w:r>
          </w:p>
        </w:tc>
        <w:tc>
          <w:tcPr>
            <w:tcW w:w="3020" w:type="dxa"/>
            <w:vAlign w:val="bottom"/>
            <w:tcBorders>
              <w:top w:val="single" w:sz="8" w:color="auto"/>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0"/>
              </w:rPr>
              <w:t>Acceptance of Appointment by Successor</w:t>
            </w:r>
          </w:p>
        </w:tc>
        <w:tc>
          <w:tcPr>
            <w:tcW w:w="1420" w:type="dxa"/>
            <w:vAlign w:val="bottom"/>
            <w:tcBorders>
              <w:top w:val="single" w:sz="8" w:color="auto"/>
            </w:tcBorders>
            <w:gridSpan w:val="7"/>
          </w:tcPr>
          <w:p>
            <w:pPr>
              <w:spacing w:after="0"/>
              <w:rPr>
                <w:sz w:val="17"/>
                <w:szCs w:val="17"/>
                <w:color w:val="auto"/>
              </w:rPr>
            </w:pPr>
          </w:p>
        </w:tc>
        <w:tc>
          <w:tcPr>
            <w:tcW w:w="3680" w:type="dxa"/>
            <w:vAlign w:val="bottom"/>
            <w:gridSpan w:val="6"/>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6.12.</w:t>
            </w:r>
          </w:p>
        </w:tc>
        <w:tc>
          <w:tcPr>
            <w:tcW w:w="8120" w:type="dxa"/>
            <w:vAlign w:val="bottom"/>
            <w:gridSpan w:val="32"/>
          </w:tcPr>
          <w:p>
            <w:pPr>
              <w:spacing w:after="0" w:line="196" w:lineRule="exact"/>
              <w:rPr>
                <w:sz w:val="20"/>
                <w:szCs w:val="20"/>
                <w:color w:val="auto"/>
              </w:rPr>
            </w:pPr>
            <w:r>
              <w:rPr>
                <w:rFonts w:ascii="Arial" w:cs="Arial" w:eastAsia="Arial" w:hAnsi="Arial"/>
                <w:sz w:val="18"/>
                <w:szCs w:val="18"/>
                <w:color w:val="auto"/>
              </w:rPr>
              <w:t>Merger, Conversion, Consolidation or Succession to Business of Trustee</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6.13.</w:t>
            </w:r>
          </w:p>
        </w:tc>
        <w:tc>
          <w:tcPr>
            <w:tcW w:w="5220" w:type="dxa"/>
            <w:vAlign w:val="bottom"/>
            <w:tcBorders>
              <w:top w:val="single" w:sz="8" w:color="auto"/>
            </w:tcBorders>
            <w:gridSpan w:val="28"/>
          </w:tcPr>
          <w:p>
            <w:pPr>
              <w:spacing w:after="0" w:line="196" w:lineRule="exact"/>
              <w:rPr>
                <w:sz w:val="20"/>
                <w:szCs w:val="20"/>
                <w:color w:val="auto"/>
              </w:rPr>
            </w:pPr>
            <w:r>
              <w:rPr>
                <w:rFonts w:ascii="Arial" w:cs="Arial" w:eastAsia="Arial" w:hAnsi="Arial"/>
                <w:sz w:val="18"/>
                <w:szCs w:val="18"/>
                <w:color w:val="auto"/>
              </w:rPr>
              <w:t>Preferential Collection of Claims</w:t>
            </w:r>
          </w:p>
        </w:tc>
        <w:tc>
          <w:tcPr>
            <w:tcW w:w="2900" w:type="dxa"/>
            <w:vAlign w:val="bottom"/>
            <w:gridSpan w:val="4"/>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900" w:type="dxa"/>
            <w:vAlign w:val="bottom"/>
          </w:tcPr>
          <w:p>
            <w:pPr>
              <w:spacing w:after="0" w:line="20" w:lineRule="exact"/>
              <w:rPr>
                <w:sz w:val="1"/>
                <w:szCs w:val="1"/>
                <w:color w:val="auto"/>
              </w:rPr>
            </w:pPr>
          </w:p>
        </w:tc>
        <w:tc>
          <w:tcPr>
            <w:tcW w:w="1700" w:type="dxa"/>
            <w:vAlign w:val="bottom"/>
            <w:gridSpan w:val="6"/>
            <w:shd w:val="clear" w:color="auto" w:fill="000000"/>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6.14.</w:t>
            </w:r>
          </w:p>
        </w:tc>
        <w:tc>
          <w:tcPr>
            <w:tcW w:w="244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0"/>
              </w:rPr>
              <w:t>Communications with the Trustee</w:t>
            </w:r>
          </w:p>
        </w:tc>
        <w:tc>
          <w:tcPr>
            <w:tcW w:w="5680" w:type="dxa"/>
            <w:vAlign w:val="bottom"/>
            <w:gridSpan w:val="19"/>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6.15.</w:t>
            </w:r>
          </w:p>
        </w:tc>
        <w:tc>
          <w:tcPr>
            <w:tcW w:w="8120" w:type="dxa"/>
            <w:vAlign w:val="bottom"/>
            <w:gridSpan w:val="32"/>
          </w:tcPr>
          <w:p>
            <w:pPr>
              <w:spacing w:after="0" w:line="196" w:lineRule="exact"/>
              <w:rPr>
                <w:sz w:val="20"/>
                <w:szCs w:val="20"/>
                <w:color w:val="auto"/>
              </w:rPr>
            </w:pPr>
            <w:r>
              <w:rPr>
                <w:rFonts w:ascii="Arial" w:cs="Arial" w:eastAsia="Arial" w:hAnsi="Arial"/>
                <w:sz w:val="18"/>
                <w:szCs w:val="18"/>
                <w:color w:val="auto"/>
              </w:rPr>
              <w:t>Paying Agent/Registrar</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345"/>
        </w:trPr>
        <w:tc>
          <w:tcPr>
            <w:tcW w:w="19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gridSpan w:val="10"/>
          </w:tcPr>
          <w:p>
            <w:pPr>
              <w:jc w:val="center"/>
              <w:ind w:right="3800"/>
              <w:spacing w:after="0"/>
              <w:rPr>
                <w:sz w:val="20"/>
                <w:szCs w:val="20"/>
                <w:color w:val="auto"/>
              </w:rPr>
            </w:pPr>
            <w:r>
              <w:rPr>
                <w:rFonts w:ascii="Arial" w:cs="Arial" w:eastAsia="Arial" w:hAnsi="Arial"/>
                <w:sz w:val="18"/>
                <w:szCs w:val="18"/>
                <w:color w:val="auto"/>
                <w:w w:val="96"/>
              </w:rPr>
              <w:t>ARTICLE 7</w:t>
            </w:r>
          </w:p>
        </w:tc>
        <w:tc>
          <w:tcPr>
            <w:tcW w:w="130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gridSpan w:val="18"/>
          </w:tcPr>
          <w:p>
            <w:pPr>
              <w:jc w:val="center"/>
              <w:ind w:right="3120"/>
              <w:spacing w:after="0"/>
              <w:rPr>
                <w:sz w:val="20"/>
                <w:szCs w:val="20"/>
                <w:color w:val="auto"/>
              </w:rPr>
            </w:pPr>
            <w:r>
              <w:rPr>
                <w:rFonts w:ascii="Arial" w:cs="Arial" w:eastAsia="Arial" w:hAnsi="Arial"/>
                <w:sz w:val="18"/>
                <w:szCs w:val="18"/>
                <w:color w:val="auto"/>
                <w:w w:val="96"/>
              </w:rPr>
              <w:t>CONCERNING THE HOLDERS</w:t>
            </w:r>
          </w:p>
        </w:tc>
        <w:tc>
          <w:tcPr>
            <w:tcW w:w="1300" w:type="dxa"/>
            <w:vAlign w:val="bottom"/>
          </w:tcPr>
          <w:p>
            <w:pPr>
              <w:spacing w:after="0"/>
              <w:rPr>
                <w:sz w:val="24"/>
                <w:szCs w:val="24"/>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SECTION 7.01.</w:t>
            </w:r>
          </w:p>
        </w:tc>
        <w:tc>
          <w:tcPr>
            <w:tcW w:w="8120" w:type="dxa"/>
            <w:vAlign w:val="bottom"/>
            <w:gridSpan w:val="32"/>
          </w:tcPr>
          <w:p>
            <w:pPr>
              <w:spacing w:after="0"/>
              <w:rPr>
                <w:sz w:val="20"/>
                <w:szCs w:val="20"/>
                <w:color w:val="auto"/>
              </w:rPr>
            </w:pPr>
            <w:r>
              <w:rPr>
                <w:rFonts w:ascii="Arial" w:cs="Arial" w:eastAsia="Arial" w:hAnsi="Arial"/>
                <w:sz w:val="18"/>
                <w:szCs w:val="18"/>
                <w:color w:val="auto"/>
              </w:rPr>
              <w:t>Evidence of Action Taken by Holders</w:t>
            </w: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900" w:type="dxa"/>
            <w:vAlign w:val="bottom"/>
          </w:tcPr>
          <w:p>
            <w:pPr>
              <w:spacing w:after="0" w:line="20" w:lineRule="exact"/>
              <w:rPr>
                <w:sz w:val="1"/>
                <w:szCs w:val="1"/>
                <w:color w:val="auto"/>
              </w:rPr>
            </w:pPr>
          </w:p>
        </w:tc>
        <w:tc>
          <w:tcPr>
            <w:tcW w:w="2540" w:type="dxa"/>
            <w:vAlign w:val="bottom"/>
            <w:gridSpan w:val="14"/>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7.02.</w:t>
            </w:r>
          </w:p>
        </w:tc>
        <w:tc>
          <w:tcPr>
            <w:tcW w:w="8120" w:type="dxa"/>
            <w:vAlign w:val="bottom"/>
            <w:gridSpan w:val="32"/>
          </w:tcPr>
          <w:p>
            <w:pPr>
              <w:spacing w:after="0" w:line="196" w:lineRule="exact"/>
              <w:rPr>
                <w:sz w:val="20"/>
                <w:szCs w:val="20"/>
                <w:color w:val="auto"/>
              </w:rPr>
            </w:pPr>
            <w:r>
              <w:rPr>
                <w:rFonts w:ascii="Arial" w:cs="Arial" w:eastAsia="Arial" w:hAnsi="Arial"/>
                <w:sz w:val="18"/>
                <w:szCs w:val="18"/>
                <w:color w:val="auto"/>
              </w:rPr>
              <w:t>Proof of Execution of Instruments and of Holding of Securities; Record Date</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7.03.</w:t>
            </w:r>
          </w:p>
        </w:tc>
        <w:tc>
          <w:tcPr>
            <w:tcW w:w="5540" w:type="dxa"/>
            <w:vAlign w:val="bottom"/>
            <w:tcBorders>
              <w:top w:val="single" w:sz="8" w:color="auto"/>
            </w:tcBorders>
            <w:gridSpan w:val="30"/>
          </w:tcPr>
          <w:p>
            <w:pPr>
              <w:spacing w:after="0" w:line="196" w:lineRule="exact"/>
              <w:rPr>
                <w:sz w:val="20"/>
                <w:szCs w:val="20"/>
                <w:color w:val="auto"/>
              </w:rPr>
            </w:pPr>
            <w:r>
              <w:rPr>
                <w:rFonts w:ascii="Arial" w:cs="Arial" w:eastAsia="Arial" w:hAnsi="Arial"/>
                <w:sz w:val="18"/>
                <w:szCs w:val="18"/>
                <w:color w:val="auto"/>
              </w:rPr>
              <w:t>Who May Be Deemed Owners of Securities</w:t>
            </w:r>
          </w:p>
        </w:tc>
        <w:tc>
          <w:tcPr>
            <w:tcW w:w="2580" w:type="dxa"/>
            <w:vAlign w:val="bottom"/>
            <w:gridSpan w:val="2"/>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1900" w:type="dxa"/>
            <w:vAlign w:val="bottom"/>
          </w:tcPr>
          <w:p>
            <w:pPr>
              <w:spacing w:after="0" w:line="20" w:lineRule="exact"/>
              <w:rPr>
                <w:sz w:val="1"/>
                <w:szCs w:val="1"/>
                <w:color w:val="auto"/>
              </w:rPr>
            </w:pPr>
          </w:p>
        </w:tc>
        <w:tc>
          <w:tcPr>
            <w:tcW w:w="2540" w:type="dxa"/>
            <w:vAlign w:val="bottom"/>
            <w:gridSpan w:val="14"/>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00" w:type="dxa"/>
            <w:vAlign w:val="bottom"/>
            <w:gridSpan w:val="8"/>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7.04.</w:t>
            </w:r>
          </w:p>
        </w:tc>
        <w:tc>
          <w:tcPr>
            <w:tcW w:w="8120" w:type="dxa"/>
            <w:vAlign w:val="bottom"/>
            <w:gridSpan w:val="32"/>
          </w:tcPr>
          <w:p>
            <w:pPr>
              <w:spacing w:after="0" w:line="196" w:lineRule="exact"/>
              <w:rPr>
                <w:sz w:val="20"/>
                <w:szCs w:val="20"/>
                <w:color w:val="auto"/>
              </w:rPr>
            </w:pPr>
            <w:r>
              <w:rPr>
                <w:rFonts w:ascii="Arial" w:cs="Arial" w:eastAsia="Arial" w:hAnsi="Arial"/>
                <w:sz w:val="18"/>
                <w:szCs w:val="18"/>
                <w:color w:val="auto"/>
              </w:rPr>
              <w:t>Securities Owned by Company Deemed Not Outstanding</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7.05.</w:t>
            </w:r>
          </w:p>
        </w:tc>
        <w:tc>
          <w:tcPr>
            <w:tcW w:w="2540" w:type="dxa"/>
            <w:vAlign w:val="bottom"/>
            <w:tcBorders>
              <w:top w:val="single" w:sz="8" w:color="auto"/>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92"/>
              </w:rPr>
              <w:t>Record Date for Action by Holders</w:t>
            </w:r>
          </w:p>
        </w:tc>
        <w:tc>
          <w:tcPr>
            <w:tcW w:w="1580" w:type="dxa"/>
            <w:vAlign w:val="bottom"/>
            <w:tcBorders>
              <w:top w:val="single" w:sz="8" w:color="auto"/>
            </w:tcBorders>
            <w:gridSpan w:val="10"/>
          </w:tcPr>
          <w:p>
            <w:pPr>
              <w:spacing w:after="0"/>
              <w:rPr>
                <w:sz w:val="17"/>
                <w:szCs w:val="17"/>
                <w:color w:val="auto"/>
              </w:rPr>
            </w:pPr>
          </w:p>
        </w:tc>
        <w:tc>
          <w:tcPr>
            <w:tcW w:w="4000" w:type="dxa"/>
            <w:vAlign w:val="bottom"/>
            <w:gridSpan w:val="8"/>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7.06.</w:t>
            </w:r>
          </w:p>
        </w:tc>
        <w:tc>
          <w:tcPr>
            <w:tcW w:w="8120" w:type="dxa"/>
            <w:vAlign w:val="bottom"/>
            <w:gridSpan w:val="32"/>
          </w:tcPr>
          <w:p>
            <w:pPr>
              <w:spacing w:after="0" w:line="196" w:lineRule="exact"/>
              <w:rPr>
                <w:sz w:val="20"/>
                <w:szCs w:val="20"/>
                <w:color w:val="auto"/>
              </w:rPr>
            </w:pPr>
            <w:r>
              <w:rPr>
                <w:rFonts w:ascii="Arial" w:cs="Arial" w:eastAsia="Arial" w:hAnsi="Arial"/>
                <w:sz w:val="18"/>
                <w:szCs w:val="18"/>
                <w:color w:val="auto"/>
              </w:rPr>
              <w:t>Right of Revocation of Action Taken</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345"/>
        </w:trPr>
        <w:tc>
          <w:tcPr>
            <w:tcW w:w="19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gridSpan w:val="10"/>
          </w:tcPr>
          <w:p>
            <w:pPr>
              <w:jc w:val="center"/>
              <w:ind w:right="3800"/>
              <w:spacing w:after="0"/>
              <w:rPr>
                <w:sz w:val="20"/>
                <w:szCs w:val="20"/>
                <w:color w:val="auto"/>
              </w:rPr>
            </w:pPr>
            <w:r>
              <w:rPr>
                <w:rFonts w:ascii="Arial" w:cs="Arial" w:eastAsia="Arial" w:hAnsi="Arial"/>
                <w:sz w:val="18"/>
                <w:szCs w:val="18"/>
                <w:color w:val="auto"/>
                <w:w w:val="96"/>
              </w:rPr>
              <w:t>ARTICLE 8</w:t>
            </w:r>
          </w:p>
        </w:tc>
        <w:tc>
          <w:tcPr>
            <w:tcW w:w="130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gridSpan w:val="16"/>
          </w:tcPr>
          <w:p>
            <w:pPr>
              <w:jc w:val="center"/>
              <w:ind w:right="3300"/>
              <w:spacing w:after="0"/>
              <w:rPr>
                <w:sz w:val="20"/>
                <w:szCs w:val="20"/>
                <w:color w:val="auto"/>
              </w:rPr>
            </w:pPr>
            <w:r>
              <w:rPr>
                <w:rFonts w:ascii="Arial" w:cs="Arial" w:eastAsia="Arial" w:hAnsi="Arial"/>
                <w:sz w:val="18"/>
                <w:szCs w:val="18"/>
                <w:color w:val="auto"/>
                <w:w w:val="95"/>
              </w:rPr>
              <w:t>MEETINGS OF HOLDERS</w:t>
            </w:r>
          </w:p>
        </w:tc>
        <w:tc>
          <w:tcPr>
            <w:tcW w:w="1300" w:type="dxa"/>
            <w:vAlign w:val="bottom"/>
          </w:tcPr>
          <w:p>
            <w:pPr>
              <w:spacing w:after="0"/>
              <w:rPr>
                <w:sz w:val="24"/>
                <w:szCs w:val="24"/>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SECTION 8.01.</w:t>
            </w:r>
          </w:p>
        </w:tc>
        <w:tc>
          <w:tcPr>
            <w:tcW w:w="8120" w:type="dxa"/>
            <w:vAlign w:val="bottom"/>
            <w:gridSpan w:val="32"/>
          </w:tcPr>
          <w:p>
            <w:pPr>
              <w:spacing w:after="0"/>
              <w:rPr>
                <w:sz w:val="20"/>
                <w:szCs w:val="20"/>
                <w:color w:val="auto"/>
              </w:rPr>
            </w:pPr>
            <w:r>
              <w:rPr>
                <w:rFonts w:ascii="Arial" w:cs="Arial" w:eastAsia="Arial" w:hAnsi="Arial"/>
                <w:sz w:val="18"/>
                <w:szCs w:val="18"/>
                <w:color w:val="auto"/>
              </w:rPr>
              <w:t>Purposes for Which Meeting May Be Called</w:t>
            </w: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8.02.</w:t>
            </w:r>
          </w:p>
        </w:tc>
        <w:tc>
          <w:tcPr>
            <w:tcW w:w="3200" w:type="dxa"/>
            <w:vAlign w:val="bottom"/>
            <w:tcBorders>
              <w:top w:val="single" w:sz="8" w:color="auto"/>
            </w:tcBorders>
            <w:gridSpan w:val="22"/>
          </w:tcPr>
          <w:p>
            <w:pPr>
              <w:spacing w:after="0" w:line="196" w:lineRule="exact"/>
              <w:rPr>
                <w:sz w:val="20"/>
                <w:szCs w:val="20"/>
                <w:color w:val="auto"/>
              </w:rPr>
            </w:pPr>
            <w:r>
              <w:rPr>
                <w:rFonts w:ascii="Arial" w:cs="Arial" w:eastAsia="Arial" w:hAnsi="Arial"/>
                <w:sz w:val="18"/>
                <w:szCs w:val="18"/>
                <w:color w:val="auto"/>
                <w:w w:val="96"/>
              </w:rPr>
              <w:t>Manner of Calling Meetings; Record Date</w:t>
            </w:r>
          </w:p>
        </w:tc>
        <w:tc>
          <w:tcPr>
            <w:tcW w:w="4920" w:type="dxa"/>
            <w:vAlign w:val="bottom"/>
            <w:gridSpan w:val="10"/>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8.03.</w:t>
            </w:r>
          </w:p>
        </w:tc>
        <w:tc>
          <w:tcPr>
            <w:tcW w:w="2920" w:type="dxa"/>
            <w:vAlign w:val="bottom"/>
            <w:tcBorders>
              <w:top w:val="single" w:sz="8" w:color="auto"/>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2"/>
              </w:rPr>
              <w:t>Call of Meeting by Company or Holders</w:t>
            </w:r>
          </w:p>
        </w:tc>
        <w:tc>
          <w:tcPr>
            <w:tcW w:w="120" w:type="dxa"/>
            <w:vAlign w:val="bottom"/>
            <w:tcBorders>
              <w:top w:val="single" w:sz="8" w:color="auto"/>
            </w:tcBorders>
            <w:gridSpan w:val="2"/>
          </w:tcPr>
          <w:p>
            <w:pPr>
              <w:spacing w:after="0"/>
              <w:rPr>
                <w:sz w:val="17"/>
                <w:szCs w:val="17"/>
                <w:color w:val="auto"/>
              </w:rPr>
            </w:pPr>
          </w:p>
        </w:tc>
        <w:tc>
          <w:tcPr>
            <w:tcW w:w="5080" w:type="dxa"/>
            <w:vAlign w:val="bottom"/>
            <w:gridSpan w:val="12"/>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0" w:right="339" w:bottom="1440" w:gutter="0" w:footer="0" w:header="0"/>
        </w:sectPr>
      </w:pPr>
    </w:p>
    <w:bookmarkStart w:id="40" w:name="page41"/>
    <w:bookmarkEnd w:id="4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9"/>
        </w:trPr>
        <w:tc>
          <w:tcPr>
            <w:tcW w:w="1900" w:type="dxa"/>
            <w:vAlign w:val="bottom"/>
          </w:tcPr>
          <w:p>
            <w:pPr>
              <w:spacing w:after="0"/>
              <w:rPr>
                <w:sz w:val="20"/>
                <w:szCs w:val="20"/>
                <w:color w:val="auto"/>
              </w:rPr>
            </w:pPr>
            <w:r>
              <w:rPr>
                <w:rFonts w:ascii="Arial" w:cs="Arial" w:eastAsia="Arial" w:hAnsi="Arial"/>
                <w:sz w:val="18"/>
                <w:szCs w:val="18"/>
                <w:color w:val="auto"/>
              </w:rPr>
              <w:t>SECTION 8.04.</w:t>
            </w:r>
          </w:p>
        </w:tc>
        <w:tc>
          <w:tcPr>
            <w:tcW w:w="2760" w:type="dxa"/>
            <w:vAlign w:val="bottom"/>
            <w:tcBorders>
              <w:bottom w:val="single" w:sz="8" w:color="auto"/>
            </w:tcBorders>
            <w:gridSpan w:val="12"/>
          </w:tcPr>
          <w:p>
            <w:pPr>
              <w:spacing w:after="0"/>
              <w:rPr>
                <w:sz w:val="20"/>
                <w:szCs w:val="20"/>
                <w:color w:val="auto"/>
              </w:rPr>
            </w:pPr>
            <w:r>
              <w:rPr>
                <w:rFonts w:ascii="Arial" w:cs="Arial" w:eastAsia="Arial" w:hAnsi="Arial"/>
                <w:sz w:val="18"/>
                <w:szCs w:val="18"/>
                <w:color w:val="auto"/>
                <w:w w:val="91"/>
              </w:rPr>
              <w:t>Who May Attend and Vote at Meeting</w:t>
            </w:r>
          </w:p>
        </w:tc>
        <w:tc>
          <w:tcPr>
            <w:tcW w:w="5340" w:type="dxa"/>
            <w:vAlign w:val="bottom"/>
            <w:gridSpan w:val="13"/>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8.05.</w:t>
            </w:r>
          </w:p>
        </w:tc>
        <w:tc>
          <w:tcPr>
            <w:tcW w:w="8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8"/>
              </w:rPr>
              <w:t>Regulations</w:t>
            </w:r>
          </w:p>
        </w:tc>
        <w:tc>
          <w:tcPr>
            <w:tcW w:w="7240" w:type="dxa"/>
            <w:vAlign w:val="bottom"/>
            <w:gridSpan w:val="24"/>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8.06.</w:t>
            </w:r>
          </w:p>
        </w:tc>
        <w:tc>
          <w:tcPr>
            <w:tcW w:w="8100" w:type="dxa"/>
            <w:vAlign w:val="bottom"/>
            <w:gridSpan w:val="25"/>
          </w:tcPr>
          <w:p>
            <w:pPr>
              <w:spacing w:after="0" w:line="196" w:lineRule="exact"/>
              <w:rPr>
                <w:sz w:val="20"/>
                <w:szCs w:val="20"/>
                <w:color w:val="auto"/>
              </w:rPr>
            </w:pPr>
            <w:r>
              <w:rPr>
                <w:rFonts w:ascii="Arial" w:cs="Arial" w:eastAsia="Arial" w:hAnsi="Arial"/>
                <w:sz w:val="18"/>
                <w:szCs w:val="18"/>
                <w:color w:val="auto"/>
              </w:rPr>
              <w:t>Manner of Voting at Meetings and Record to be Kept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90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8.07.</w:t>
            </w:r>
          </w:p>
        </w:tc>
        <w:tc>
          <w:tcPr>
            <w:tcW w:w="5300" w:type="dxa"/>
            <w:vAlign w:val="bottom"/>
            <w:tcBorders>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90"/>
              </w:rPr>
              <w:t>Exercise of Rights of Trustee and Holders Not to be Hindered or Delayed</w:t>
            </w:r>
          </w:p>
        </w:tc>
        <w:tc>
          <w:tcPr>
            <w:tcW w:w="2800" w:type="dxa"/>
            <w:vAlign w:val="bottom"/>
            <w:gridSpan w:val="3"/>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345"/>
        </w:trPr>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20" w:type="dxa"/>
            <w:vAlign w:val="bottom"/>
            <w:gridSpan w:val="8"/>
          </w:tcPr>
          <w:p>
            <w:pPr>
              <w:jc w:val="center"/>
              <w:ind w:right="3860"/>
              <w:spacing w:after="0"/>
              <w:rPr>
                <w:sz w:val="20"/>
                <w:szCs w:val="20"/>
                <w:color w:val="auto"/>
              </w:rPr>
            </w:pPr>
            <w:r>
              <w:rPr>
                <w:rFonts w:ascii="Arial" w:cs="Arial" w:eastAsia="Arial" w:hAnsi="Arial"/>
                <w:sz w:val="18"/>
                <w:szCs w:val="18"/>
                <w:color w:val="auto"/>
                <w:w w:val="96"/>
              </w:rPr>
              <w:t>ARTICLE 9</w:t>
            </w:r>
          </w:p>
        </w:tc>
        <w:tc>
          <w:tcPr>
            <w:tcW w:w="132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gridSpan w:val="15"/>
          </w:tcPr>
          <w:p>
            <w:pPr>
              <w:jc w:val="center"/>
              <w:ind w:right="2980"/>
              <w:spacing w:after="0"/>
              <w:rPr>
                <w:sz w:val="20"/>
                <w:szCs w:val="20"/>
                <w:color w:val="auto"/>
              </w:rPr>
            </w:pPr>
            <w:r>
              <w:rPr>
                <w:rFonts w:ascii="Arial" w:cs="Arial" w:eastAsia="Arial" w:hAnsi="Arial"/>
                <w:sz w:val="18"/>
                <w:szCs w:val="18"/>
                <w:color w:val="auto"/>
                <w:w w:val="96"/>
              </w:rPr>
              <w:t>SUPPLEMENTAL INDENTURES</w:t>
            </w:r>
          </w:p>
        </w:tc>
        <w:tc>
          <w:tcPr>
            <w:tcW w:w="1320" w:type="dxa"/>
            <w:vAlign w:val="bottom"/>
          </w:tcPr>
          <w:p>
            <w:pPr>
              <w:spacing w:after="0"/>
              <w:rPr>
                <w:sz w:val="24"/>
                <w:szCs w:val="24"/>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SECTION 9.01.</w:t>
            </w:r>
          </w:p>
        </w:tc>
        <w:tc>
          <w:tcPr>
            <w:tcW w:w="8100" w:type="dxa"/>
            <w:vAlign w:val="bottom"/>
            <w:gridSpan w:val="25"/>
          </w:tcPr>
          <w:p>
            <w:pPr>
              <w:spacing w:after="0"/>
              <w:rPr>
                <w:sz w:val="20"/>
                <w:szCs w:val="20"/>
                <w:color w:val="auto"/>
              </w:rPr>
            </w:pPr>
            <w:r>
              <w:rPr>
                <w:rFonts w:ascii="Arial" w:cs="Arial" w:eastAsia="Arial" w:hAnsi="Arial"/>
                <w:sz w:val="18"/>
                <w:szCs w:val="18"/>
                <w:color w:val="auto"/>
              </w:rPr>
              <w:t>Supplemental Indentures Without Consent of 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9.02.</w:t>
            </w:r>
          </w:p>
        </w:tc>
        <w:tc>
          <w:tcPr>
            <w:tcW w:w="1800" w:type="dxa"/>
            <w:vAlign w:val="bottom"/>
            <w:tcBorders>
              <w:top w:val="single" w:sz="8" w:color="auto"/>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1"/>
              </w:rPr>
              <w:t>With Consent of Holders</w:t>
            </w:r>
          </w:p>
        </w:tc>
        <w:tc>
          <w:tcPr>
            <w:tcW w:w="2060" w:type="dxa"/>
            <w:vAlign w:val="bottom"/>
            <w:tcBorders>
              <w:top w:val="single" w:sz="8" w:color="auto"/>
            </w:tcBorders>
            <w:gridSpan w:val="14"/>
          </w:tcPr>
          <w:p>
            <w:pPr>
              <w:spacing w:after="0"/>
              <w:rPr>
                <w:sz w:val="17"/>
                <w:szCs w:val="17"/>
                <w:color w:val="auto"/>
              </w:rPr>
            </w:pPr>
          </w:p>
        </w:tc>
        <w:tc>
          <w:tcPr>
            <w:tcW w:w="4240" w:type="dxa"/>
            <w:vAlign w:val="bottom"/>
            <w:gridSpan w:val="6"/>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9.03.</w:t>
            </w:r>
          </w:p>
        </w:tc>
        <w:tc>
          <w:tcPr>
            <w:tcW w:w="240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0"/>
              </w:rPr>
              <w:t>Effect of Supplemental Indenture</w:t>
            </w:r>
          </w:p>
        </w:tc>
        <w:tc>
          <w:tcPr>
            <w:tcW w:w="5700" w:type="dxa"/>
            <w:vAlign w:val="bottom"/>
            <w:gridSpan w:val="15"/>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9.04.</w:t>
            </w:r>
          </w:p>
        </w:tc>
        <w:tc>
          <w:tcPr>
            <w:tcW w:w="418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92"/>
              </w:rPr>
              <w:t>Documents to Be Given to Trustee; Compliance with TIA</w:t>
            </w:r>
          </w:p>
        </w:tc>
        <w:tc>
          <w:tcPr>
            <w:tcW w:w="3920" w:type="dxa"/>
            <w:vAlign w:val="bottom"/>
            <w:gridSpan w:val="5"/>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9.05.</w:t>
            </w:r>
          </w:p>
        </w:tc>
        <w:tc>
          <w:tcPr>
            <w:tcW w:w="8100" w:type="dxa"/>
            <w:vAlign w:val="bottom"/>
            <w:gridSpan w:val="25"/>
          </w:tcPr>
          <w:p>
            <w:pPr>
              <w:spacing w:after="0" w:line="196" w:lineRule="exact"/>
              <w:rPr>
                <w:sz w:val="20"/>
                <w:szCs w:val="20"/>
                <w:color w:val="auto"/>
              </w:rPr>
            </w:pPr>
            <w:r>
              <w:rPr>
                <w:rFonts w:ascii="Arial" w:cs="Arial" w:eastAsia="Arial" w:hAnsi="Arial"/>
                <w:sz w:val="18"/>
                <w:szCs w:val="18"/>
                <w:color w:val="auto"/>
              </w:rPr>
              <w:t>Notation on Securities in Respect of Supplemental Indentures</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345"/>
        </w:trPr>
        <w:tc>
          <w:tcPr>
            <w:tcW w:w="19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gridSpan w:val="4"/>
          </w:tcPr>
          <w:p>
            <w:pPr>
              <w:jc w:val="center"/>
              <w:ind w:right="180"/>
              <w:spacing w:after="0"/>
              <w:rPr>
                <w:sz w:val="20"/>
                <w:szCs w:val="20"/>
                <w:color w:val="auto"/>
              </w:rPr>
            </w:pPr>
            <w:r>
              <w:rPr>
                <w:rFonts w:ascii="Arial" w:cs="Arial" w:eastAsia="Arial" w:hAnsi="Arial"/>
                <w:sz w:val="18"/>
                <w:szCs w:val="18"/>
                <w:color w:val="auto"/>
                <w:w w:val="96"/>
              </w:rPr>
              <w:t>ARTICLE 10</w:t>
            </w:r>
          </w:p>
        </w:tc>
        <w:tc>
          <w:tcPr>
            <w:tcW w:w="3660" w:type="dxa"/>
            <w:vAlign w:val="bottom"/>
            <w:gridSpan w:val="4"/>
          </w:tcPr>
          <w:p>
            <w:pPr>
              <w:spacing w:after="0"/>
              <w:rPr>
                <w:sz w:val="24"/>
                <w:szCs w:val="24"/>
                <w:color w:val="auto"/>
              </w:rPr>
            </w:pPr>
          </w:p>
        </w:tc>
        <w:tc>
          <w:tcPr>
            <w:tcW w:w="132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20" w:type="dxa"/>
            <w:vAlign w:val="bottom"/>
            <w:gridSpan w:val="21"/>
          </w:tcPr>
          <w:p>
            <w:pPr>
              <w:jc w:val="center"/>
              <w:ind w:right="2240"/>
              <w:spacing w:after="0"/>
              <w:rPr>
                <w:sz w:val="20"/>
                <w:szCs w:val="20"/>
                <w:color w:val="auto"/>
              </w:rPr>
            </w:pPr>
            <w:r>
              <w:rPr>
                <w:rFonts w:ascii="Arial" w:cs="Arial" w:eastAsia="Arial" w:hAnsi="Arial"/>
                <w:sz w:val="18"/>
                <w:szCs w:val="18"/>
                <w:color w:val="auto"/>
                <w:w w:val="95"/>
              </w:rPr>
              <w:t>CONSOLIDATION, MERGER OR SALE OF ASSETS</w:t>
            </w:r>
          </w:p>
        </w:tc>
        <w:tc>
          <w:tcPr>
            <w:tcW w:w="1320" w:type="dxa"/>
            <w:vAlign w:val="bottom"/>
          </w:tcPr>
          <w:p>
            <w:pPr>
              <w:spacing w:after="0"/>
              <w:rPr>
                <w:sz w:val="24"/>
                <w:szCs w:val="24"/>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SECTION 10.01.</w:t>
            </w:r>
          </w:p>
        </w:tc>
        <w:tc>
          <w:tcPr>
            <w:tcW w:w="266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90"/>
              </w:rPr>
              <w:t>When the Company May Merge, Etc</w:t>
            </w:r>
          </w:p>
        </w:tc>
        <w:tc>
          <w:tcPr>
            <w:tcW w:w="5440" w:type="dxa"/>
            <w:vAlign w:val="bottom"/>
            <w:gridSpan w:val="14"/>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10.02.</w:t>
            </w:r>
          </w:p>
        </w:tc>
        <w:tc>
          <w:tcPr>
            <w:tcW w:w="8100" w:type="dxa"/>
            <w:vAlign w:val="bottom"/>
            <w:gridSpan w:val="25"/>
          </w:tcPr>
          <w:p>
            <w:pPr>
              <w:spacing w:after="0" w:line="196" w:lineRule="exact"/>
              <w:rPr>
                <w:sz w:val="20"/>
                <w:szCs w:val="20"/>
                <w:color w:val="auto"/>
              </w:rPr>
            </w:pPr>
            <w:r>
              <w:rPr>
                <w:rFonts w:ascii="Arial" w:cs="Arial" w:eastAsia="Arial" w:hAnsi="Arial"/>
                <w:sz w:val="18"/>
                <w:szCs w:val="18"/>
                <w:color w:val="auto"/>
              </w:rPr>
              <w:t>Successor Person Substituted</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90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10.03.</w:t>
            </w:r>
          </w:p>
        </w:tc>
        <w:tc>
          <w:tcPr>
            <w:tcW w:w="8100" w:type="dxa"/>
            <w:vAlign w:val="bottom"/>
            <w:gridSpan w:val="25"/>
          </w:tcPr>
          <w:p>
            <w:pPr>
              <w:spacing w:after="0" w:line="196" w:lineRule="exact"/>
              <w:rPr>
                <w:sz w:val="20"/>
                <w:szCs w:val="20"/>
                <w:color w:val="auto"/>
              </w:rPr>
            </w:pPr>
            <w:r>
              <w:rPr>
                <w:rFonts w:ascii="Arial" w:cs="Arial" w:eastAsia="Arial" w:hAnsi="Arial"/>
                <w:sz w:val="18"/>
                <w:szCs w:val="18"/>
                <w:color w:val="auto"/>
              </w:rPr>
              <w:t>Opinion of Counsel to Trustee</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345"/>
        </w:trPr>
        <w:tc>
          <w:tcPr>
            <w:tcW w:w="19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20" w:type="dxa"/>
            <w:vAlign w:val="bottom"/>
            <w:gridSpan w:val="8"/>
          </w:tcPr>
          <w:p>
            <w:pPr>
              <w:jc w:val="center"/>
              <w:ind w:right="3840"/>
              <w:spacing w:after="0"/>
              <w:rPr>
                <w:sz w:val="20"/>
                <w:szCs w:val="20"/>
                <w:color w:val="auto"/>
              </w:rPr>
            </w:pPr>
            <w:r>
              <w:rPr>
                <w:rFonts w:ascii="Arial" w:cs="Arial" w:eastAsia="Arial" w:hAnsi="Arial"/>
                <w:sz w:val="18"/>
                <w:szCs w:val="18"/>
                <w:color w:val="auto"/>
                <w:w w:val="96"/>
              </w:rPr>
              <w:t>ARTICLE 11</w:t>
            </w:r>
          </w:p>
        </w:tc>
        <w:tc>
          <w:tcPr>
            <w:tcW w:w="132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gridSpan w:val="15"/>
          </w:tcPr>
          <w:p>
            <w:pPr>
              <w:jc w:val="center"/>
              <w:ind w:right="2960"/>
              <w:spacing w:after="0"/>
              <w:rPr>
                <w:sz w:val="20"/>
                <w:szCs w:val="20"/>
                <w:color w:val="auto"/>
              </w:rPr>
            </w:pPr>
            <w:r>
              <w:rPr>
                <w:rFonts w:ascii="Arial" w:cs="Arial" w:eastAsia="Arial" w:hAnsi="Arial"/>
                <w:sz w:val="18"/>
                <w:szCs w:val="18"/>
                <w:color w:val="auto"/>
                <w:w w:val="95"/>
              </w:rPr>
              <w:t>REDEMPTION OF SECURITIES</w:t>
            </w:r>
          </w:p>
        </w:tc>
        <w:tc>
          <w:tcPr>
            <w:tcW w:w="1320" w:type="dxa"/>
            <w:vAlign w:val="bottom"/>
          </w:tcPr>
          <w:p>
            <w:pPr>
              <w:spacing w:after="0"/>
              <w:rPr>
                <w:sz w:val="24"/>
                <w:szCs w:val="24"/>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SECTION 11.01.</w:t>
            </w:r>
          </w:p>
        </w:tc>
        <w:tc>
          <w:tcPr>
            <w:tcW w:w="8100" w:type="dxa"/>
            <w:vAlign w:val="bottom"/>
            <w:gridSpan w:val="25"/>
          </w:tcPr>
          <w:p>
            <w:pPr>
              <w:spacing w:after="0"/>
              <w:rPr>
                <w:sz w:val="20"/>
                <w:szCs w:val="20"/>
                <w:color w:val="auto"/>
              </w:rPr>
            </w:pPr>
            <w:r>
              <w:rPr>
                <w:rFonts w:ascii="Arial" w:cs="Arial" w:eastAsia="Arial" w:hAnsi="Arial"/>
                <w:sz w:val="18"/>
                <w:szCs w:val="18"/>
                <w:color w:val="auto"/>
              </w:rPr>
              <w:t>Applicability of Article</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190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11.02.</w:t>
            </w:r>
          </w:p>
        </w:tc>
        <w:tc>
          <w:tcPr>
            <w:tcW w:w="316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0"/>
              </w:rPr>
              <w:t>Notice of Redemption; Partial Redemptions</w:t>
            </w:r>
          </w:p>
        </w:tc>
        <w:tc>
          <w:tcPr>
            <w:tcW w:w="4940" w:type="dxa"/>
            <w:vAlign w:val="bottom"/>
            <w:gridSpan w:val="10"/>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11.03.</w:t>
            </w:r>
          </w:p>
        </w:tc>
        <w:tc>
          <w:tcPr>
            <w:tcW w:w="8100" w:type="dxa"/>
            <w:vAlign w:val="bottom"/>
            <w:gridSpan w:val="25"/>
          </w:tcPr>
          <w:p>
            <w:pPr>
              <w:spacing w:after="0" w:line="196" w:lineRule="exact"/>
              <w:rPr>
                <w:sz w:val="20"/>
                <w:szCs w:val="20"/>
                <w:color w:val="auto"/>
              </w:rPr>
            </w:pPr>
            <w:r>
              <w:rPr>
                <w:rFonts w:ascii="Arial" w:cs="Arial" w:eastAsia="Arial" w:hAnsi="Arial"/>
                <w:sz w:val="18"/>
                <w:szCs w:val="18"/>
                <w:color w:val="auto"/>
              </w:rPr>
              <w:t>Payment of Securities Called for Redemption</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345"/>
        </w:trPr>
        <w:tc>
          <w:tcPr>
            <w:tcW w:w="19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820" w:type="dxa"/>
            <w:vAlign w:val="bottom"/>
            <w:gridSpan w:val="8"/>
          </w:tcPr>
          <w:p>
            <w:pPr>
              <w:jc w:val="center"/>
              <w:ind w:right="3840"/>
              <w:spacing w:after="0"/>
              <w:rPr>
                <w:sz w:val="20"/>
                <w:szCs w:val="20"/>
                <w:color w:val="auto"/>
              </w:rPr>
            </w:pPr>
            <w:r>
              <w:rPr>
                <w:rFonts w:ascii="Arial" w:cs="Arial" w:eastAsia="Arial" w:hAnsi="Arial"/>
                <w:sz w:val="18"/>
                <w:szCs w:val="18"/>
                <w:color w:val="auto"/>
                <w:w w:val="96"/>
              </w:rPr>
              <w:t>ARTICLE 12</w:t>
            </w:r>
          </w:p>
        </w:tc>
        <w:tc>
          <w:tcPr>
            <w:tcW w:w="132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00" w:type="dxa"/>
            <w:vAlign w:val="bottom"/>
            <w:gridSpan w:val="20"/>
          </w:tcPr>
          <w:p>
            <w:pPr>
              <w:jc w:val="center"/>
              <w:ind w:right="2360"/>
              <w:spacing w:after="0"/>
              <w:rPr>
                <w:sz w:val="20"/>
                <w:szCs w:val="20"/>
                <w:color w:val="auto"/>
              </w:rPr>
            </w:pPr>
            <w:r>
              <w:rPr>
                <w:rFonts w:ascii="Arial" w:cs="Arial" w:eastAsia="Arial" w:hAnsi="Arial"/>
                <w:sz w:val="18"/>
                <w:szCs w:val="18"/>
                <w:color w:val="auto"/>
                <w:w w:val="97"/>
              </w:rPr>
              <w:t>DEFEASANCE AND COVENANT DEFEASANCE</w:t>
            </w:r>
          </w:p>
        </w:tc>
        <w:tc>
          <w:tcPr>
            <w:tcW w:w="1320" w:type="dxa"/>
            <w:vAlign w:val="bottom"/>
          </w:tcPr>
          <w:p>
            <w:pPr>
              <w:spacing w:after="0"/>
              <w:rPr>
                <w:sz w:val="24"/>
                <w:szCs w:val="24"/>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SECTION 12.01.</w:t>
            </w:r>
          </w:p>
        </w:tc>
        <w:tc>
          <w:tcPr>
            <w:tcW w:w="6760" w:type="dxa"/>
            <w:vAlign w:val="bottom"/>
            <w:tcBorders>
              <w:bottom w:val="single" w:sz="8" w:color="auto"/>
            </w:tcBorders>
            <w:gridSpan w:val="23"/>
          </w:tcPr>
          <w:p>
            <w:pPr>
              <w:spacing w:after="0"/>
              <w:rPr>
                <w:sz w:val="20"/>
                <w:szCs w:val="20"/>
                <w:color w:val="auto"/>
              </w:rPr>
            </w:pPr>
            <w:r>
              <w:rPr>
                <w:rFonts w:ascii="Arial" w:cs="Arial" w:eastAsia="Arial" w:hAnsi="Arial"/>
                <w:sz w:val="18"/>
                <w:szCs w:val="18"/>
                <w:color w:val="auto"/>
                <w:w w:val="91"/>
              </w:rPr>
              <w:t>Applicability of the Article; Company’s Option to Effect Defeasance or Covenant Defeasance</w:t>
            </w:r>
          </w:p>
        </w:tc>
        <w:tc>
          <w:tcPr>
            <w:tcW w:w="1340" w:type="dxa"/>
            <w:vAlign w:val="bottom"/>
            <w:gridSpan w:val="2"/>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12.02.</w:t>
            </w:r>
          </w:p>
        </w:tc>
        <w:tc>
          <w:tcPr>
            <w:tcW w:w="236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87"/>
              </w:rPr>
              <w:t>Legal Defeasance and Discharge</w:t>
            </w:r>
          </w:p>
        </w:tc>
        <w:tc>
          <w:tcPr>
            <w:tcW w:w="5740" w:type="dxa"/>
            <w:vAlign w:val="bottom"/>
            <w:gridSpan w:val="16"/>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12.03.</w:t>
            </w:r>
          </w:p>
        </w:tc>
        <w:tc>
          <w:tcPr>
            <w:tcW w:w="8100" w:type="dxa"/>
            <w:vAlign w:val="bottom"/>
            <w:gridSpan w:val="25"/>
          </w:tcPr>
          <w:p>
            <w:pPr>
              <w:spacing w:after="0" w:line="196" w:lineRule="exact"/>
              <w:rPr>
                <w:sz w:val="20"/>
                <w:szCs w:val="20"/>
                <w:color w:val="auto"/>
              </w:rPr>
            </w:pPr>
            <w:r>
              <w:rPr>
                <w:rFonts w:ascii="Arial" w:cs="Arial" w:eastAsia="Arial" w:hAnsi="Arial"/>
                <w:sz w:val="18"/>
                <w:szCs w:val="18"/>
                <w:color w:val="auto"/>
              </w:rPr>
              <w:t>Covenant Defeasance</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190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4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12.04.</w:t>
            </w:r>
          </w:p>
        </w:tc>
        <w:tc>
          <w:tcPr>
            <w:tcW w:w="324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89"/>
              </w:rPr>
              <w:t>Conditions to Legal or Covenant Defeasance</w:t>
            </w:r>
          </w:p>
        </w:tc>
        <w:tc>
          <w:tcPr>
            <w:tcW w:w="4860" w:type="dxa"/>
            <w:vAlign w:val="bottom"/>
            <w:gridSpan w:val="9"/>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12.05.</w:t>
            </w:r>
          </w:p>
        </w:tc>
        <w:tc>
          <w:tcPr>
            <w:tcW w:w="8100" w:type="dxa"/>
            <w:vAlign w:val="bottom"/>
            <w:gridSpan w:val="25"/>
          </w:tcPr>
          <w:p>
            <w:pPr>
              <w:spacing w:after="0" w:line="196" w:lineRule="exact"/>
              <w:rPr>
                <w:sz w:val="20"/>
                <w:szCs w:val="20"/>
                <w:color w:val="auto"/>
              </w:rPr>
            </w:pPr>
            <w:r>
              <w:rPr>
                <w:rFonts w:ascii="Arial" w:cs="Arial" w:eastAsia="Arial" w:hAnsi="Arial"/>
                <w:sz w:val="18"/>
                <w:szCs w:val="18"/>
                <w:color w:val="auto"/>
              </w:rPr>
              <w:t>Deposited Money and Government Securities to be Held in Trust; Other Miscellaneous Provisions</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12.06.</w:t>
            </w:r>
          </w:p>
        </w:tc>
        <w:tc>
          <w:tcPr>
            <w:tcW w:w="7080" w:type="dxa"/>
            <w:vAlign w:val="bottom"/>
            <w:tcBorders>
              <w:top w:val="single" w:sz="8" w:color="auto"/>
            </w:tcBorders>
            <w:gridSpan w:val="24"/>
          </w:tcPr>
          <w:p>
            <w:pPr>
              <w:spacing w:after="0" w:line="196" w:lineRule="exact"/>
              <w:rPr>
                <w:sz w:val="20"/>
                <w:szCs w:val="20"/>
                <w:color w:val="auto"/>
              </w:rPr>
            </w:pPr>
            <w:r>
              <w:rPr>
                <w:rFonts w:ascii="Arial" w:cs="Arial" w:eastAsia="Arial" w:hAnsi="Arial"/>
                <w:sz w:val="18"/>
                <w:szCs w:val="18"/>
                <w:color w:val="auto"/>
              </w:rPr>
              <w:t>Repayment to the Company or Guarantor</w:t>
            </w:r>
          </w:p>
        </w:tc>
        <w:tc>
          <w:tcPr>
            <w:tcW w:w="102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12.07.</w:t>
            </w:r>
          </w:p>
        </w:tc>
        <w:tc>
          <w:tcPr>
            <w:tcW w:w="2980" w:type="dxa"/>
            <w:vAlign w:val="bottom"/>
            <w:tcBorders>
              <w:top w:val="single" w:sz="8" w:color="auto"/>
            </w:tcBorders>
            <w:gridSpan w:val="14"/>
          </w:tcPr>
          <w:p>
            <w:pPr>
              <w:spacing w:after="0" w:line="196" w:lineRule="exact"/>
              <w:rPr>
                <w:sz w:val="20"/>
                <w:szCs w:val="20"/>
                <w:color w:val="auto"/>
              </w:rPr>
            </w:pPr>
            <w:r>
              <w:rPr>
                <w:rFonts w:ascii="Arial" w:cs="Arial" w:eastAsia="Arial" w:hAnsi="Arial"/>
                <w:sz w:val="18"/>
                <w:szCs w:val="18"/>
                <w:color w:val="auto"/>
              </w:rPr>
              <w:t>Reinstatement</w:t>
            </w:r>
          </w:p>
        </w:tc>
        <w:tc>
          <w:tcPr>
            <w:tcW w:w="5120" w:type="dxa"/>
            <w:vAlign w:val="bottom"/>
            <w:gridSpan w:val="11"/>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345"/>
        </w:trPr>
        <w:tc>
          <w:tcPr>
            <w:tcW w:w="19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20" w:type="dxa"/>
            <w:vAlign w:val="bottom"/>
            <w:gridSpan w:val="8"/>
          </w:tcPr>
          <w:p>
            <w:pPr>
              <w:jc w:val="center"/>
              <w:ind w:right="3840"/>
              <w:spacing w:after="0"/>
              <w:rPr>
                <w:sz w:val="20"/>
                <w:szCs w:val="20"/>
                <w:color w:val="auto"/>
              </w:rPr>
            </w:pPr>
            <w:r>
              <w:rPr>
                <w:rFonts w:ascii="Arial" w:cs="Arial" w:eastAsia="Arial" w:hAnsi="Arial"/>
                <w:sz w:val="18"/>
                <w:szCs w:val="18"/>
                <w:color w:val="auto"/>
                <w:w w:val="96"/>
              </w:rPr>
              <w:t>ARTICLE 13</w:t>
            </w:r>
          </w:p>
        </w:tc>
        <w:tc>
          <w:tcPr>
            <w:tcW w:w="132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40" w:type="dxa"/>
            <w:vAlign w:val="bottom"/>
            <w:gridSpan w:val="16"/>
          </w:tcPr>
          <w:p>
            <w:pPr>
              <w:jc w:val="center"/>
              <w:ind w:right="2940"/>
              <w:spacing w:after="0"/>
              <w:rPr>
                <w:sz w:val="20"/>
                <w:szCs w:val="20"/>
                <w:color w:val="auto"/>
              </w:rPr>
            </w:pPr>
            <w:r>
              <w:rPr>
                <w:rFonts w:ascii="Arial" w:cs="Arial" w:eastAsia="Arial" w:hAnsi="Arial"/>
                <w:sz w:val="18"/>
                <w:szCs w:val="18"/>
                <w:color w:val="auto"/>
                <w:w w:val="96"/>
              </w:rPr>
              <w:t>SATISFACTION AND DISCHARGE</w:t>
            </w:r>
          </w:p>
        </w:tc>
        <w:tc>
          <w:tcPr>
            <w:tcW w:w="1320" w:type="dxa"/>
            <w:vAlign w:val="bottom"/>
          </w:tcPr>
          <w:p>
            <w:pPr>
              <w:spacing w:after="0"/>
              <w:rPr>
                <w:sz w:val="24"/>
                <w:szCs w:val="24"/>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SECTION 13.01.</w:t>
            </w:r>
          </w:p>
        </w:tc>
        <w:tc>
          <w:tcPr>
            <w:tcW w:w="286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w w:val="90"/>
              </w:rPr>
              <w:t>Satisfaction and Discharge of Indenture</w:t>
            </w:r>
          </w:p>
        </w:tc>
        <w:tc>
          <w:tcPr>
            <w:tcW w:w="5240" w:type="dxa"/>
            <w:vAlign w:val="bottom"/>
            <w:gridSpan w:val="12"/>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13.02.</w:t>
            </w:r>
          </w:p>
        </w:tc>
        <w:tc>
          <w:tcPr>
            <w:tcW w:w="202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3"/>
              </w:rPr>
              <w:t>Application of Trust Money</w:t>
            </w:r>
          </w:p>
        </w:tc>
        <w:tc>
          <w:tcPr>
            <w:tcW w:w="6080" w:type="dxa"/>
            <w:vAlign w:val="bottom"/>
            <w:gridSpan w:val="19"/>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0" w:right="339" w:bottom="1440" w:gutter="0" w:footer="0" w:header="0"/>
        </w:sectPr>
      </w:pPr>
    </w:p>
    <w:bookmarkStart w:id="41" w:name="page42"/>
    <w:bookmarkEnd w:id="4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0" w:type="dxa"/>
            <w:vAlign w:val="bottom"/>
            <w:gridSpan w:val="12"/>
          </w:tcPr>
          <w:p>
            <w:pPr>
              <w:jc w:val="center"/>
              <w:ind w:right="4340"/>
              <w:spacing w:after="0"/>
              <w:rPr>
                <w:sz w:val="20"/>
                <w:szCs w:val="20"/>
                <w:color w:val="auto"/>
              </w:rPr>
            </w:pPr>
            <w:r>
              <w:rPr>
                <w:rFonts w:ascii="Arial" w:cs="Arial" w:eastAsia="Arial" w:hAnsi="Arial"/>
                <w:sz w:val="18"/>
                <w:szCs w:val="18"/>
                <w:color w:val="auto"/>
                <w:w w:val="96"/>
              </w:rPr>
              <w:t>ARTICLE 14</w:t>
            </w:r>
          </w:p>
        </w:tc>
        <w:tc>
          <w:tcPr>
            <w:tcW w:w="48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60" w:type="dxa"/>
            <w:vAlign w:val="bottom"/>
            <w:gridSpan w:val="24"/>
          </w:tcPr>
          <w:p>
            <w:pPr>
              <w:jc w:val="center"/>
              <w:ind w:right="1600"/>
              <w:spacing w:after="0"/>
              <w:rPr>
                <w:sz w:val="20"/>
                <w:szCs w:val="20"/>
                <w:color w:val="auto"/>
              </w:rPr>
            </w:pPr>
            <w:r>
              <w:rPr>
                <w:rFonts w:ascii="Arial" w:cs="Arial" w:eastAsia="Arial" w:hAnsi="Arial"/>
                <w:sz w:val="18"/>
                <w:szCs w:val="18"/>
                <w:color w:val="auto"/>
                <w:w w:val="95"/>
              </w:rPr>
              <w:t>HOLDERS’ LISTS AND REPORTS BY TRUSTEE, COMPANY AND GUARANTORS</w:t>
            </w:r>
          </w:p>
        </w:tc>
        <w:tc>
          <w:tcPr>
            <w:tcW w:w="480" w:type="dxa"/>
            <w:vAlign w:val="bottom"/>
          </w:tcPr>
          <w:p>
            <w:pPr>
              <w:spacing w:after="0"/>
              <w:rPr>
                <w:sz w:val="24"/>
                <w:szCs w:val="24"/>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SECTION 14.01.</w:t>
            </w:r>
          </w:p>
        </w:tc>
        <w:tc>
          <w:tcPr>
            <w:tcW w:w="8940" w:type="dxa"/>
            <w:vAlign w:val="bottom"/>
            <w:gridSpan w:val="25"/>
          </w:tcPr>
          <w:p>
            <w:pPr>
              <w:spacing w:after="0"/>
              <w:rPr>
                <w:sz w:val="20"/>
                <w:szCs w:val="20"/>
                <w:color w:val="auto"/>
              </w:rPr>
            </w:pPr>
            <w:r>
              <w:rPr>
                <w:rFonts w:ascii="Arial" w:cs="Arial" w:eastAsia="Arial" w:hAnsi="Arial"/>
                <w:sz w:val="18"/>
                <w:szCs w:val="18"/>
                <w:color w:val="auto"/>
              </w:rPr>
              <w:t>Company to Furnish Trustee Names and Addresses of Holders</w:t>
            </w: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14.02.</w:t>
            </w:r>
          </w:p>
        </w:tc>
        <w:tc>
          <w:tcPr>
            <w:tcW w:w="4500" w:type="dxa"/>
            <w:vAlign w:val="bottom"/>
            <w:tcBorders>
              <w:top w:val="single" w:sz="8" w:color="auto"/>
            </w:tcBorders>
            <w:gridSpan w:val="19"/>
          </w:tcPr>
          <w:p>
            <w:pPr>
              <w:spacing w:after="0" w:line="196" w:lineRule="exact"/>
              <w:rPr>
                <w:sz w:val="20"/>
                <w:szCs w:val="20"/>
                <w:color w:val="auto"/>
              </w:rPr>
            </w:pPr>
            <w:r>
              <w:rPr>
                <w:rFonts w:ascii="Arial" w:cs="Arial" w:eastAsia="Arial" w:hAnsi="Arial"/>
                <w:sz w:val="18"/>
                <w:szCs w:val="18"/>
                <w:color w:val="auto"/>
              </w:rPr>
              <w:t>Preservation of Information; Communications to Holders</w:t>
            </w:r>
          </w:p>
        </w:tc>
        <w:tc>
          <w:tcPr>
            <w:tcW w:w="4440" w:type="dxa"/>
            <w:vAlign w:val="bottom"/>
            <w:gridSpan w:val="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14.03.</w:t>
            </w:r>
          </w:p>
        </w:tc>
        <w:tc>
          <w:tcPr>
            <w:tcW w:w="4120" w:type="dxa"/>
            <w:vAlign w:val="bottom"/>
            <w:tcBorders>
              <w:top w:val="single" w:sz="8" w:color="auto"/>
            </w:tcBorders>
            <w:gridSpan w:val="18"/>
          </w:tcPr>
          <w:p>
            <w:pPr>
              <w:spacing w:after="0" w:line="196" w:lineRule="exact"/>
              <w:rPr>
                <w:sz w:val="20"/>
                <w:szCs w:val="20"/>
                <w:color w:val="auto"/>
              </w:rPr>
            </w:pPr>
            <w:r>
              <w:rPr>
                <w:rFonts w:ascii="Arial" w:cs="Arial" w:eastAsia="Arial" w:hAnsi="Arial"/>
                <w:sz w:val="18"/>
                <w:szCs w:val="18"/>
                <w:color w:val="auto"/>
              </w:rPr>
              <w:t>Reports by the Trustee</w:t>
            </w:r>
          </w:p>
        </w:tc>
        <w:tc>
          <w:tcPr>
            <w:tcW w:w="482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1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14.04.</w:t>
            </w:r>
          </w:p>
        </w:tc>
        <w:tc>
          <w:tcPr>
            <w:tcW w:w="8940" w:type="dxa"/>
            <w:vAlign w:val="bottom"/>
            <w:gridSpan w:val="25"/>
          </w:tcPr>
          <w:p>
            <w:pPr>
              <w:spacing w:after="0" w:line="196" w:lineRule="exact"/>
              <w:rPr>
                <w:sz w:val="20"/>
                <w:szCs w:val="20"/>
                <w:color w:val="auto"/>
              </w:rPr>
            </w:pPr>
            <w:r>
              <w:rPr>
                <w:rFonts w:ascii="Arial" w:cs="Arial" w:eastAsia="Arial" w:hAnsi="Arial"/>
                <w:sz w:val="18"/>
                <w:szCs w:val="18"/>
                <w:color w:val="auto"/>
              </w:rPr>
              <w:t>Reports by the Company and Guarantors</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345"/>
        </w:trPr>
        <w:tc>
          <w:tcPr>
            <w:tcW w:w="19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00" w:type="dxa"/>
            <w:vAlign w:val="bottom"/>
            <w:gridSpan w:val="12"/>
          </w:tcPr>
          <w:p>
            <w:pPr>
              <w:jc w:val="center"/>
              <w:ind w:right="4340"/>
              <w:spacing w:after="0"/>
              <w:rPr>
                <w:sz w:val="20"/>
                <w:szCs w:val="20"/>
                <w:color w:val="auto"/>
              </w:rPr>
            </w:pPr>
            <w:r>
              <w:rPr>
                <w:rFonts w:ascii="Arial" w:cs="Arial" w:eastAsia="Arial" w:hAnsi="Arial"/>
                <w:sz w:val="18"/>
                <w:szCs w:val="18"/>
                <w:color w:val="auto"/>
                <w:w w:val="96"/>
              </w:rPr>
              <w:t>ARTICLE 15</w:t>
            </w:r>
          </w:p>
        </w:tc>
        <w:tc>
          <w:tcPr>
            <w:tcW w:w="48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60" w:type="dxa"/>
            <w:vAlign w:val="bottom"/>
            <w:gridSpan w:val="15"/>
          </w:tcPr>
          <w:p>
            <w:pPr>
              <w:jc w:val="center"/>
              <w:ind w:right="3400"/>
              <w:spacing w:after="0"/>
              <w:rPr>
                <w:sz w:val="20"/>
                <w:szCs w:val="20"/>
                <w:color w:val="auto"/>
              </w:rPr>
            </w:pPr>
            <w:r>
              <w:rPr>
                <w:rFonts w:ascii="Arial" w:cs="Arial" w:eastAsia="Arial" w:hAnsi="Arial"/>
                <w:sz w:val="18"/>
                <w:szCs w:val="18"/>
                <w:color w:val="auto"/>
                <w:w w:val="96"/>
              </w:rPr>
              <w:t>MISCELLANEOUS PROVISIONS</w:t>
            </w:r>
          </w:p>
        </w:tc>
        <w:tc>
          <w:tcPr>
            <w:tcW w:w="480" w:type="dxa"/>
            <w:vAlign w:val="bottom"/>
          </w:tcPr>
          <w:p>
            <w:pPr>
              <w:spacing w:after="0"/>
              <w:rPr>
                <w:sz w:val="24"/>
                <w:szCs w:val="24"/>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SECTION 15.01.</w:t>
            </w:r>
          </w:p>
        </w:tc>
        <w:tc>
          <w:tcPr>
            <w:tcW w:w="8940" w:type="dxa"/>
            <w:vAlign w:val="bottom"/>
            <w:gridSpan w:val="25"/>
          </w:tcPr>
          <w:p>
            <w:pPr>
              <w:spacing w:after="0"/>
              <w:rPr>
                <w:sz w:val="20"/>
                <w:szCs w:val="20"/>
                <w:color w:val="auto"/>
              </w:rPr>
            </w:pPr>
            <w:r>
              <w:rPr>
                <w:rFonts w:ascii="Arial" w:cs="Arial" w:eastAsia="Arial" w:hAnsi="Arial"/>
                <w:sz w:val="18"/>
                <w:szCs w:val="18"/>
                <w:color w:val="auto"/>
                <w:w w:val="92"/>
              </w:rPr>
              <w:t>Incorporators, Stockholders, Members, Partners, Officers, Managers and Directors of Company or any Guarantor Exempt</w:t>
            </w:r>
          </w:p>
        </w:tc>
        <w:tc>
          <w:tcPr>
            <w:tcW w:w="480" w:type="dxa"/>
            <w:vAlign w:val="bottom"/>
          </w:tcPr>
          <w:p>
            <w:pPr>
              <w:spacing w:after="0"/>
              <w:rPr>
                <w:sz w:val="24"/>
                <w:szCs w:val="24"/>
                <w:color w:val="auto"/>
              </w:rPr>
            </w:pPr>
          </w:p>
        </w:tc>
      </w:tr>
      <w:tr>
        <w:trPr>
          <w:trHeight w:val="196"/>
        </w:trPr>
        <w:tc>
          <w:tcPr>
            <w:tcW w:w="19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0" w:type="dxa"/>
            <w:vAlign w:val="bottom"/>
            <w:tcBorders>
              <w:top w:val="single" w:sz="8" w:color="auto"/>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7"/>
              </w:rPr>
              <w:t>from Individual Liability</w:t>
            </w:r>
          </w:p>
        </w:tc>
        <w:tc>
          <w:tcPr>
            <w:tcW w:w="6780" w:type="dxa"/>
            <w:vAlign w:val="bottom"/>
            <w:tcBorders>
              <w:top w:val="single" w:sz="8" w:color="auto"/>
            </w:tcBorders>
            <w:gridSpan w:val="14"/>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15.02.</w:t>
            </w:r>
          </w:p>
        </w:tc>
        <w:tc>
          <w:tcPr>
            <w:tcW w:w="480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90"/>
              </w:rPr>
              <w:t>Provisions of Indenture for the Sole Benefit of Parties and Holders</w:t>
            </w:r>
          </w:p>
        </w:tc>
        <w:tc>
          <w:tcPr>
            <w:tcW w:w="414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15.03.</w:t>
            </w:r>
          </w:p>
        </w:tc>
        <w:tc>
          <w:tcPr>
            <w:tcW w:w="8940" w:type="dxa"/>
            <w:vAlign w:val="bottom"/>
            <w:gridSpan w:val="25"/>
          </w:tcPr>
          <w:p>
            <w:pPr>
              <w:spacing w:after="0" w:line="196" w:lineRule="exact"/>
              <w:rPr>
                <w:sz w:val="20"/>
                <w:szCs w:val="20"/>
                <w:color w:val="auto"/>
              </w:rPr>
            </w:pPr>
            <w:r>
              <w:rPr>
                <w:rFonts w:ascii="Arial" w:cs="Arial" w:eastAsia="Arial" w:hAnsi="Arial"/>
                <w:sz w:val="18"/>
                <w:szCs w:val="18"/>
                <w:color w:val="auto"/>
              </w:rPr>
              <w:t>Successors and Assigns of Company or Guarantor Bound by Indenture</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15.04.</w:t>
            </w:r>
          </w:p>
        </w:tc>
        <w:tc>
          <w:tcPr>
            <w:tcW w:w="3940" w:type="dxa"/>
            <w:vAlign w:val="bottom"/>
            <w:tcBorders>
              <w:top w:val="single" w:sz="8" w:color="auto"/>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89"/>
              </w:rPr>
              <w:t>Notices, Etc., to Trustee, the Company and Guarantors</w:t>
            </w:r>
          </w:p>
        </w:tc>
        <w:tc>
          <w:tcPr>
            <w:tcW w:w="1160" w:type="dxa"/>
            <w:vAlign w:val="bottom"/>
            <w:tcBorders>
              <w:top w:val="single" w:sz="8" w:color="auto"/>
            </w:tcBorders>
            <w:gridSpan w:val="5"/>
          </w:tcPr>
          <w:p>
            <w:pPr>
              <w:spacing w:after="0"/>
              <w:rPr>
                <w:sz w:val="17"/>
                <w:szCs w:val="17"/>
                <w:color w:val="auto"/>
              </w:rPr>
            </w:pPr>
          </w:p>
        </w:tc>
        <w:tc>
          <w:tcPr>
            <w:tcW w:w="384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15.05.</w:t>
            </w:r>
          </w:p>
        </w:tc>
        <w:tc>
          <w:tcPr>
            <w:tcW w:w="8940" w:type="dxa"/>
            <w:vAlign w:val="bottom"/>
            <w:gridSpan w:val="25"/>
          </w:tcPr>
          <w:p>
            <w:pPr>
              <w:spacing w:after="0" w:line="196" w:lineRule="exact"/>
              <w:rPr>
                <w:sz w:val="20"/>
                <w:szCs w:val="20"/>
                <w:color w:val="auto"/>
              </w:rPr>
            </w:pPr>
            <w:r>
              <w:rPr>
                <w:rFonts w:ascii="Arial" w:cs="Arial" w:eastAsia="Arial" w:hAnsi="Arial"/>
                <w:sz w:val="18"/>
                <w:szCs w:val="18"/>
                <w:color w:val="auto"/>
              </w:rPr>
              <w:t>Notices to Holders</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190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15.06.</w:t>
            </w:r>
          </w:p>
        </w:tc>
        <w:tc>
          <w:tcPr>
            <w:tcW w:w="8940" w:type="dxa"/>
            <w:vAlign w:val="bottom"/>
            <w:gridSpan w:val="25"/>
          </w:tcPr>
          <w:p>
            <w:pPr>
              <w:spacing w:after="0" w:line="196" w:lineRule="exact"/>
              <w:rPr>
                <w:sz w:val="20"/>
                <w:szCs w:val="20"/>
                <w:color w:val="auto"/>
              </w:rPr>
            </w:pPr>
            <w:r>
              <w:rPr>
                <w:rFonts w:ascii="Arial" w:cs="Arial" w:eastAsia="Arial" w:hAnsi="Arial"/>
                <w:sz w:val="18"/>
                <w:szCs w:val="18"/>
                <w:color w:val="auto"/>
              </w:rPr>
              <w:t>Officers’ Certificates and Opinions of Counsel; Statements to Be Contained Therein</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15.07.</w:t>
            </w:r>
          </w:p>
        </w:tc>
        <w:tc>
          <w:tcPr>
            <w:tcW w:w="6060" w:type="dxa"/>
            <w:vAlign w:val="bottom"/>
            <w:tcBorders>
              <w:top w:val="single" w:sz="8" w:color="auto"/>
            </w:tcBorders>
            <w:gridSpan w:val="23"/>
          </w:tcPr>
          <w:p>
            <w:pPr>
              <w:spacing w:after="0" w:line="196" w:lineRule="exact"/>
              <w:rPr>
                <w:sz w:val="20"/>
                <w:szCs w:val="20"/>
                <w:color w:val="auto"/>
              </w:rPr>
            </w:pPr>
            <w:r>
              <w:rPr>
                <w:rFonts w:ascii="Arial" w:cs="Arial" w:eastAsia="Arial" w:hAnsi="Arial"/>
                <w:sz w:val="18"/>
                <w:szCs w:val="18"/>
                <w:color w:val="auto"/>
              </w:rPr>
              <w:t>Payments Due on Saturdays, Sundays and Holidays</w:t>
            </w:r>
          </w:p>
        </w:tc>
        <w:tc>
          <w:tcPr>
            <w:tcW w:w="288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190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15.08.</w:t>
            </w:r>
          </w:p>
        </w:tc>
        <w:tc>
          <w:tcPr>
            <w:tcW w:w="8940" w:type="dxa"/>
            <w:vAlign w:val="bottom"/>
            <w:gridSpan w:val="25"/>
          </w:tcPr>
          <w:p>
            <w:pPr>
              <w:spacing w:after="0" w:line="196" w:lineRule="exact"/>
              <w:rPr>
                <w:sz w:val="20"/>
                <w:szCs w:val="20"/>
                <w:color w:val="auto"/>
              </w:rPr>
            </w:pPr>
            <w:r>
              <w:rPr>
                <w:rFonts w:ascii="Arial" w:cs="Arial" w:eastAsia="Arial" w:hAnsi="Arial"/>
                <w:sz w:val="18"/>
                <w:szCs w:val="18"/>
                <w:color w:val="auto"/>
              </w:rPr>
              <w:t>Conflict of Any Provision of Indenture with Trust Indenture Act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15.09.</w:t>
            </w:r>
          </w:p>
        </w:tc>
        <w:tc>
          <w:tcPr>
            <w:tcW w:w="4620" w:type="dxa"/>
            <w:vAlign w:val="bottom"/>
            <w:tcBorders>
              <w:top w:val="single" w:sz="8" w:color="auto"/>
            </w:tcBorders>
            <w:gridSpan w:val="20"/>
          </w:tcPr>
          <w:p>
            <w:pPr>
              <w:spacing w:after="0" w:line="196" w:lineRule="exact"/>
              <w:rPr>
                <w:sz w:val="20"/>
                <w:szCs w:val="20"/>
                <w:color w:val="auto"/>
              </w:rPr>
            </w:pPr>
            <w:r>
              <w:rPr>
                <w:rFonts w:ascii="Arial" w:cs="Arial" w:eastAsia="Arial" w:hAnsi="Arial"/>
                <w:sz w:val="18"/>
                <w:szCs w:val="18"/>
                <w:color w:val="auto"/>
              </w:rPr>
              <w:t>Conflict of Any Provision of Securities with Indenture</w:t>
            </w:r>
          </w:p>
        </w:tc>
        <w:tc>
          <w:tcPr>
            <w:tcW w:w="432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15.10.</w:t>
            </w:r>
          </w:p>
        </w:tc>
        <w:tc>
          <w:tcPr>
            <w:tcW w:w="1880" w:type="dxa"/>
            <w:vAlign w:val="bottom"/>
            <w:tcBorders>
              <w:top w:val="single" w:sz="8" w:color="auto"/>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2"/>
              </w:rPr>
              <w:t>New York Law to Govern</w:t>
            </w:r>
          </w:p>
        </w:tc>
        <w:tc>
          <w:tcPr>
            <w:tcW w:w="2040" w:type="dxa"/>
            <w:vAlign w:val="bottom"/>
            <w:tcBorders>
              <w:top w:val="single" w:sz="8" w:color="auto"/>
            </w:tcBorders>
            <w:gridSpan w:val="7"/>
          </w:tcPr>
          <w:p>
            <w:pPr>
              <w:spacing w:after="0"/>
              <w:rPr>
                <w:sz w:val="17"/>
                <w:szCs w:val="17"/>
                <w:color w:val="auto"/>
              </w:rPr>
            </w:pPr>
          </w:p>
        </w:tc>
        <w:tc>
          <w:tcPr>
            <w:tcW w:w="5020" w:type="dxa"/>
            <w:vAlign w:val="bottom"/>
            <w:gridSpan w:val="9"/>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15.11.</w:t>
            </w:r>
          </w:p>
        </w:tc>
        <w:tc>
          <w:tcPr>
            <w:tcW w:w="146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2"/>
              </w:rPr>
              <w:t>Waiver of Jury Trial</w:t>
            </w:r>
          </w:p>
        </w:tc>
        <w:tc>
          <w:tcPr>
            <w:tcW w:w="7480" w:type="dxa"/>
            <w:vAlign w:val="bottom"/>
            <w:gridSpan w:val="20"/>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15.12.</w:t>
            </w:r>
          </w:p>
        </w:tc>
        <w:tc>
          <w:tcPr>
            <w:tcW w:w="8940" w:type="dxa"/>
            <w:vAlign w:val="bottom"/>
            <w:gridSpan w:val="25"/>
          </w:tcPr>
          <w:p>
            <w:pPr>
              <w:spacing w:after="0" w:line="196" w:lineRule="exact"/>
              <w:rPr>
                <w:sz w:val="20"/>
                <w:szCs w:val="20"/>
                <w:color w:val="auto"/>
              </w:rPr>
            </w:pPr>
            <w:r>
              <w:rPr>
                <w:rFonts w:ascii="Arial" w:cs="Arial" w:eastAsia="Arial" w:hAnsi="Arial"/>
                <w:sz w:val="18"/>
                <w:szCs w:val="18"/>
                <w:color w:val="auto"/>
              </w:rPr>
              <w:t>Consent to Jurisdiction and Service</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15.13.</w:t>
            </w:r>
          </w:p>
        </w:tc>
        <w:tc>
          <w:tcPr>
            <w:tcW w:w="1820" w:type="dxa"/>
            <w:vAlign w:val="bottom"/>
            <w:tcBorders>
              <w:top w:val="single" w:sz="8" w:color="auto"/>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1"/>
              </w:rPr>
              <w:t>Third Party Beneficiaries</w:t>
            </w:r>
          </w:p>
        </w:tc>
        <w:tc>
          <w:tcPr>
            <w:tcW w:w="720" w:type="dxa"/>
            <w:vAlign w:val="bottom"/>
            <w:tcBorders>
              <w:top w:val="single" w:sz="8" w:color="auto"/>
            </w:tcBorders>
            <w:gridSpan w:val="3"/>
          </w:tcPr>
          <w:p>
            <w:pPr>
              <w:spacing w:after="0"/>
              <w:rPr>
                <w:sz w:val="17"/>
                <w:szCs w:val="17"/>
                <w:color w:val="auto"/>
              </w:rPr>
            </w:pPr>
          </w:p>
        </w:tc>
        <w:tc>
          <w:tcPr>
            <w:tcW w:w="6400" w:type="dxa"/>
            <w:vAlign w:val="bottom"/>
            <w:gridSpan w:val="1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15.14.</w:t>
            </w:r>
          </w:p>
        </w:tc>
        <w:tc>
          <w:tcPr>
            <w:tcW w:w="8940" w:type="dxa"/>
            <w:vAlign w:val="bottom"/>
            <w:gridSpan w:val="25"/>
          </w:tcPr>
          <w:p>
            <w:pPr>
              <w:spacing w:after="0" w:line="196" w:lineRule="exact"/>
              <w:rPr>
                <w:sz w:val="20"/>
                <w:szCs w:val="20"/>
                <w:color w:val="auto"/>
              </w:rPr>
            </w:pPr>
            <w:r>
              <w:rPr>
                <w:rFonts w:ascii="Arial" w:cs="Arial" w:eastAsia="Arial" w:hAnsi="Arial"/>
                <w:sz w:val="18"/>
                <w:szCs w:val="18"/>
                <w:color w:val="auto"/>
              </w:rPr>
              <w:t>Counterparts</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190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15.15.</w:t>
            </w:r>
          </w:p>
        </w:tc>
        <w:tc>
          <w:tcPr>
            <w:tcW w:w="8940" w:type="dxa"/>
            <w:vAlign w:val="bottom"/>
            <w:gridSpan w:val="25"/>
          </w:tcPr>
          <w:p>
            <w:pPr>
              <w:spacing w:after="0" w:line="196" w:lineRule="exact"/>
              <w:rPr>
                <w:sz w:val="20"/>
                <w:szCs w:val="20"/>
                <w:color w:val="auto"/>
              </w:rPr>
            </w:pPr>
            <w:r>
              <w:rPr>
                <w:rFonts w:ascii="Arial" w:cs="Arial" w:eastAsia="Arial" w:hAnsi="Arial"/>
                <w:sz w:val="18"/>
                <w:szCs w:val="18"/>
                <w:color w:val="auto"/>
              </w:rPr>
              <w:t>Effect of Headings, Table of Contents</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190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1020" w:type="dxa"/>
            <w:vAlign w:val="bottom"/>
            <w:gridSpan w:val="5"/>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15.16.</w:t>
            </w:r>
          </w:p>
        </w:tc>
        <w:tc>
          <w:tcPr>
            <w:tcW w:w="346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91"/>
              </w:rPr>
              <w:t>No Adverse Interpretation of Other Agreements</w:t>
            </w:r>
          </w:p>
        </w:tc>
        <w:tc>
          <w:tcPr>
            <w:tcW w:w="548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15.17.</w:t>
            </w:r>
          </w:p>
        </w:tc>
        <w:tc>
          <w:tcPr>
            <w:tcW w:w="8940" w:type="dxa"/>
            <w:vAlign w:val="bottom"/>
            <w:gridSpan w:val="25"/>
          </w:tcPr>
          <w:p>
            <w:pPr>
              <w:spacing w:after="0" w:line="196" w:lineRule="exact"/>
              <w:rPr>
                <w:sz w:val="20"/>
                <w:szCs w:val="20"/>
                <w:color w:val="auto"/>
              </w:rPr>
            </w:pPr>
            <w:r>
              <w:rPr>
                <w:rFonts w:ascii="Arial" w:cs="Arial" w:eastAsia="Arial" w:hAnsi="Arial"/>
                <w:sz w:val="18"/>
                <w:szCs w:val="18"/>
                <w:color w:val="auto"/>
              </w:rPr>
              <w:t>Severability</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190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7240" w:type="dxa"/>
            <w:vAlign w:val="bottom"/>
            <w:gridSpan w:val="1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15.18.</w:t>
            </w:r>
          </w:p>
        </w:tc>
        <w:tc>
          <w:tcPr>
            <w:tcW w:w="170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1"/>
              </w:rPr>
              <w:t>Patriot Act Compliance</w:t>
            </w:r>
          </w:p>
        </w:tc>
        <w:tc>
          <w:tcPr>
            <w:tcW w:w="7240" w:type="dxa"/>
            <w:vAlign w:val="bottom"/>
            <w:gridSpan w:val="1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SECTION 15.19.</w:t>
            </w:r>
          </w:p>
        </w:tc>
        <w:tc>
          <w:tcPr>
            <w:tcW w:w="106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9"/>
              </w:rPr>
              <w:t>Force Majeure</w:t>
            </w:r>
          </w:p>
        </w:tc>
        <w:tc>
          <w:tcPr>
            <w:tcW w:w="7880" w:type="dxa"/>
            <w:vAlign w:val="bottom"/>
            <w:gridSpan w:val="2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70"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10280" w:type="dxa"/>
            <w:vAlign w:val="bottom"/>
            <w:gridSpan w:val="2"/>
          </w:tcPr>
          <w:p>
            <w:pPr>
              <w:ind w:left="1940"/>
              <w:spacing w:after="0"/>
              <w:rPr>
                <w:sz w:val="20"/>
                <w:szCs w:val="20"/>
                <w:color w:val="auto"/>
              </w:rPr>
            </w:pPr>
            <w:r>
              <w:rPr>
                <w:rFonts w:ascii="Arial" w:cs="Arial" w:eastAsia="Arial" w:hAnsi="Arial"/>
                <w:sz w:val="18"/>
                <w:szCs w:val="18"/>
                <w:color w:val="auto"/>
              </w:rPr>
              <w:t>Reconciliation and tie between Trust Indenture Act of 1939, as amended,</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10280" w:type="dxa"/>
            <w:vAlign w:val="bottom"/>
            <w:gridSpan w:val="2"/>
          </w:tcPr>
          <w:p>
            <w:pPr>
              <w:ind w:left="3920"/>
              <w:spacing w:after="0"/>
              <w:rPr>
                <w:sz w:val="20"/>
                <w:szCs w:val="20"/>
                <w:color w:val="auto"/>
              </w:rPr>
            </w:pPr>
            <w:r>
              <w:rPr>
                <w:rFonts w:ascii="Arial" w:cs="Arial" w:eastAsia="Arial" w:hAnsi="Arial"/>
                <w:sz w:val="18"/>
                <w:szCs w:val="18"/>
                <w:color w:val="auto"/>
              </w:rPr>
              <w:t>and this Indenture</w:t>
            </w:r>
          </w:p>
        </w:tc>
        <w:tc>
          <w:tcPr>
            <w:tcW w:w="0" w:type="dxa"/>
            <w:vAlign w:val="bottom"/>
          </w:tcPr>
          <w:p>
            <w:pPr>
              <w:spacing w:after="0"/>
              <w:rPr>
                <w:sz w:val="1"/>
                <w:szCs w:val="1"/>
                <w:color w:val="auto"/>
              </w:rPr>
            </w:pPr>
          </w:p>
        </w:tc>
      </w:tr>
      <w:tr>
        <w:trPr>
          <w:trHeight w:val="392"/>
        </w:trPr>
        <w:tc>
          <w:tcPr>
            <w:tcW w:w="1140" w:type="dxa"/>
            <w:vAlign w:val="bottom"/>
          </w:tcPr>
          <w:p>
            <w:pPr>
              <w:spacing w:after="0"/>
              <w:rPr>
                <w:sz w:val="20"/>
                <w:szCs w:val="20"/>
                <w:color w:val="auto"/>
              </w:rPr>
            </w:pPr>
            <w:r>
              <w:rPr>
                <w:rFonts w:ascii="Arial" w:cs="Arial" w:eastAsia="Arial" w:hAnsi="Arial"/>
                <w:sz w:val="14"/>
                <w:szCs w:val="14"/>
                <w:color w:val="auto"/>
                <w:w w:val="94"/>
              </w:rPr>
              <w:t>Trust Indenture Act</w:t>
            </w:r>
          </w:p>
        </w:tc>
        <w:tc>
          <w:tcPr>
            <w:tcW w:w="85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1"/>
              </w:rPr>
              <w:t>Indenture</w:t>
            </w:r>
          </w:p>
        </w:tc>
        <w:tc>
          <w:tcPr>
            <w:tcW w:w="0" w:type="dxa"/>
            <w:vAlign w:val="bottom"/>
          </w:tcPr>
          <w:p>
            <w:pPr>
              <w:spacing w:after="0"/>
              <w:rPr>
                <w:sz w:val="1"/>
                <w:szCs w:val="1"/>
                <w:color w:val="auto"/>
              </w:rPr>
            </w:pPr>
          </w:p>
        </w:tc>
      </w:tr>
      <w:tr>
        <w:trPr>
          <w:trHeight w:val="149"/>
        </w:trPr>
        <w:tc>
          <w:tcPr>
            <w:tcW w:w="11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Section</w:t>
            </w:r>
          </w:p>
        </w:tc>
        <w:tc>
          <w:tcPr>
            <w:tcW w:w="8580" w:type="dxa"/>
            <w:vAlign w:val="bottom"/>
          </w:tcPr>
          <w:p>
            <w:pPr>
              <w:spacing w:after="0"/>
              <w:rPr>
                <w:sz w:val="12"/>
                <w:szCs w:val="12"/>
                <w:color w:val="auto"/>
              </w:rPr>
            </w:pPr>
          </w:p>
        </w:tc>
        <w:tc>
          <w:tcPr>
            <w:tcW w:w="1700" w:type="dxa"/>
            <w:vAlign w:val="bottom"/>
          </w:tcPr>
          <w:p>
            <w:pPr>
              <w:jc w:val="center"/>
              <w:spacing w:after="0" w:line="129" w:lineRule="exact"/>
              <w:rPr>
                <w:sz w:val="20"/>
                <w:szCs w:val="20"/>
                <w:color w:val="auto"/>
              </w:rPr>
            </w:pPr>
            <w:r>
              <w:rPr>
                <w:rFonts w:ascii="Arial" w:cs="Arial" w:eastAsia="Arial" w:hAnsi="Arial"/>
                <w:sz w:val="14"/>
                <w:szCs w:val="14"/>
                <w:color w:val="auto"/>
                <w:w w:val="89"/>
              </w:rPr>
              <w:t>Section</w:t>
            </w:r>
          </w:p>
        </w:tc>
        <w:tc>
          <w:tcPr>
            <w:tcW w:w="0" w:type="dxa"/>
            <w:vAlign w:val="bottom"/>
          </w:tcPr>
          <w:p>
            <w:pPr>
              <w:spacing w:after="0"/>
              <w:rPr>
                <w:sz w:val="1"/>
                <w:szCs w:val="1"/>
                <w:color w:val="auto"/>
              </w:rPr>
            </w:pPr>
          </w:p>
        </w:tc>
      </w:tr>
      <w:tr>
        <w:trPr>
          <w:trHeight w:val="21"/>
        </w:trPr>
        <w:tc>
          <w:tcPr>
            <w:tcW w:w="1140" w:type="dxa"/>
            <w:vAlign w:val="bottom"/>
            <w:vMerge w:val="restart"/>
          </w:tcPr>
          <w:p>
            <w:pPr>
              <w:jc w:val="right"/>
              <w:ind w:right="271"/>
              <w:spacing w:after="0"/>
              <w:rPr>
                <w:sz w:val="20"/>
                <w:szCs w:val="20"/>
                <w:color w:val="auto"/>
              </w:rPr>
            </w:pPr>
            <w:r>
              <w:rPr>
                <w:rFonts w:ascii="Arial" w:cs="Arial" w:eastAsia="Arial" w:hAnsi="Arial"/>
                <w:sz w:val="18"/>
                <w:szCs w:val="18"/>
                <w:color w:val="auto"/>
                <w:w w:val="90"/>
              </w:rPr>
              <w:t>§310(a)(1)</w:t>
            </w:r>
          </w:p>
        </w:tc>
        <w:tc>
          <w:tcPr>
            <w:tcW w:w="8580" w:type="dxa"/>
            <w:vAlign w:val="bottom"/>
            <w:vMerge w:val="restart"/>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140" w:type="dxa"/>
            <w:vAlign w:val="bottom"/>
            <w:vMerge w:val="continue"/>
          </w:tcPr>
          <w:p>
            <w:pPr>
              <w:spacing w:after="0"/>
              <w:rPr>
                <w:sz w:val="16"/>
                <w:szCs w:val="16"/>
                <w:color w:val="auto"/>
              </w:rPr>
            </w:pPr>
          </w:p>
        </w:tc>
        <w:tc>
          <w:tcPr>
            <w:tcW w:w="8580" w:type="dxa"/>
            <w:vAlign w:val="bottom"/>
            <w:vMerge w:val="continue"/>
          </w:tcPr>
          <w:p>
            <w:pPr>
              <w:spacing w:after="0"/>
              <w:rPr>
                <w:sz w:val="16"/>
                <w:szCs w:val="16"/>
                <w:color w:val="auto"/>
              </w:rPr>
            </w:pPr>
          </w:p>
        </w:tc>
        <w:tc>
          <w:tcPr>
            <w:tcW w:w="1700" w:type="dxa"/>
            <w:vAlign w:val="bottom"/>
          </w:tcPr>
          <w:p>
            <w:pPr>
              <w:spacing w:after="0" w:line="195" w:lineRule="exact"/>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1140" w:type="dxa"/>
            <w:vAlign w:val="bottom"/>
          </w:tcPr>
          <w:p>
            <w:pPr>
              <w:jc w:val="right"/>
              <w:ind w:right="271"/>
              <w:spacing w:after="0"/>
              <w:rPr>
                <w:sz w:val="20"/>
                <w:szCs w:val="20"/>
                <w:color w:val="auto"/>
              </w:rPr>
            </w:pPr>
            <w:r>
              <w:rPr>
                <w:rFonts w:ascii="Arial" w:cs="Arial" w:eastAsia="Arial" w:hAnsi="Arial"/>
                <w:sz w:val="18"/>
                <w:szCs w:val="18"/>
                <w:color w:val="auto"/>
              </w:rPr>
              <w:t>(a)(2)</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1140" w:type="dxa"/>
            <w:vAlign w:val="bottom"/>
          </w:tcPr>
          <w:p>
            <w:pPr>
              <w:jc w:val="right"/>
              <w:ind w:right="271"/>
              <w:spacing w:after="0"/>
              <w:rPr>
                <w:sz w:val="20"/>
                <w:szCs w:val="20"/>
                <w:color w:val="auto"/>
              </w:rPr>
            </w:pPr>
            <w:r>
              <w:rPr>
                <w:rFonts w:ascii="Arial" w:cs="Arial" w:eastAsia="Arial" w:hAnsi="Arial"/>
                <w:sz w:val="18"/>
                <w:szCs w:val="18"/>
                <w:color w:val="auto"/>
              </w:rPr>
              <w:t>(a)(3)</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1140" w:type="dxa"/>
            <w:vAlign w:val="bottom"/>
          </w:tcPr>
          <w:p>
            <w:pPr>
              <w:jc w:val="right"/>
              <w:ind w:right="271"/>
              <w:spacing w:after="0"/>
              <w:rPr>
                <w:sz w:val="20"/>
                <w:szCs w:val="20"/>
                <w:color w:val="auto"/>
              </w:rPr>
            </w:pPr>
            <w:r>
              <w:rPr>
                <w:rFonts w:ascii="Arial" w:cs="Arial" w:eastAsia="Arial" w:hAnsi="Arial"/>
                <w:sz w:val="18"/>
                <w:szCs w:val="18"/>
                <w:color w:val="auto"/>
              </w:rPr>
              <w:t>(a)(4)</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1140" w:type="dxa"/>
            <w:vAlign w:val="bottom"/>
          </w:tcPr>
          <w:p>
            <w:pPr>
              <w:jc w:val="right"/>
              <w:ind w:right="271"/>
              <w:spacing w:after="0"/>
              <w:rPr>
                <w:sz w:val="20"/>
                <w:szCs w:val="20"/>
                <w:color w:val="auto"/>
              </w:rPr>
            </w:pPr>
            <w:r>
              <w:rPr>
                <w:rFonts w:ascii="Arial" w:cs="Arial" w:eastAsia="Arial" w:hAnsi="Arial"/>
                <w:sz w:val="18"/>
                <w:szCs w:val="18"/>
                <w:color w:val="auto"/>
              </w:rPr>
              <w:t>(a)(5)</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(b)</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6.04, 6.10</w:t>
            </w:r>
          </w:p>
        </w:tc>
        <w:tc>
          <w:tcPr>
            <w:tcW w:w="0" w:type="dxa"/>
            <w:vAlign w:val="bottom"/>
          </w:tcPr>
          <w:p>
            <w:pPr>
              <w:spacing w:after="0"/>
              <w:rPr>
                <w:sz w:val="1"/>
                <w:szCs w:val="1"/>
                <w:color w:val="auto"/>
              </w:rPr>
            </w:pPr>
          </w:p>
        </w:tc>
      </w:tr>
      <w:tr>
        <w:trPr>
          <w:trHeight w:val="216"/>
        </w:trPr>
        <w:tc>
          <w:tcPr>
            <w:tcW w:w="1140" w:type="dxa"/>
            <w:vAlign w:val="bottom"/>
          </w:tcPr>
          <w:p>
            <w:pPr>
              <w:jc w:val="right"/>
              <w:ind w:right="491"/>
              <w:spacing w:after="0"/>
              <w:rPr>
                <w:sz w:val="20"/>
                <w:szCs w:val="20"/>
                <w:color w:val="auto"/>
              </w:rPr>
            </w:pPr>
            <w:r>
              <w:rPr>
                <w:rFonts w:ascii="Arial" w:cs="Arial" w:eastAsia="Arial" w:hAnsi="Arial"/>
                <w:sz w:val="18"/>
                <w:szCs w:val="18"/>
                <w:color w:val="auto"/>
                <w:w w:val="86"/>
              </w:rPr>
              <w:t>§311(a)</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(b)</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1140" w:type="dxa"/>
            <w:vAlign w:val="bottom"/>
          </w:tcPr>
          <w:p>
            <w:pPr>
              <w:jc w:val="right"/>
              <w:ind w:right="491"/>
              <w:spacing w:after="0"/>
              <w:rPr>
                <w:sz w:val="20"/>
                <w:szCs w:val="20"/>
                <w:color w:val="auto"/>
              </w:rPr>
            </w:pPr>
            <w:r>
              <w:rPr>
                <w:rFonts w:ascii="Arial" w:cs="Arial" w:eastAsia="Arial" w:hAnsi="Arial"/>
                <w:sz w:val="18"/>
                <w:szCs w:val="18"/>
                <w:color w:val="auto"/>
                <w:w w:val="86"/>
              </w:rPr>
              <w:t>§312(a)</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14.01, 14.02(a)</w:t>
            </w:r>
          </w:p>
        </w:tc>
        <w:tc>
          <w:tcPr>
            <w:tcW w:w="0" w:type="dxa"/>
            <w:vAlign w:val="bottom"/>
          </w:tcPr>
          <w:p>
            <w:pPr>
              <w:spacing w:after="0"/>
              <w:rPr>
                <w:sz w:val="1"/>
                <w:szCs w:val="1"/>
                <w:color w:val="auto"/>
              </w:rPr>
            </w:pP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(b)</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14.02(b)</w:t>
            </w:r>
          </w:p>
        </w:tc>
        <w:tc>
          <w:tcPr>
            <w:tcW w:w="0" w:type="dxa"/>
            <w:vAlign w:val="bottom"/>
          </w:tcPr>
          <w:p>
            <w:pPr>
              <w:spacing w:after="0"/>
              <w:rPr>
                <w:sz w:val="1"/>
                <w:szCs w:val="1"/>
                <w:color w:val="auto"/>
              </w:rPr>
            </w:pP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(c)</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14.02(c)</w:t>
            </w:r>
          </w:p>
        </w:tc>
        <w:tc>
          <w:tcPr>
            <w:tcW w:w="0" w:type="dxa"/>
            <w:vAlign w:val="bottom"/>
          </w:tcPr>
          <w:p>
            <w:pPr>
              <w:spacing w:after="0"/>
              <w:rPr>
                <w:sz w:val="1"/>
                <w:szCs w:val="1"/>
                <w:color w:val="auto"/>
              </w:rPr>
            </w:pPr>
          </w:p>
        </w:tc>
      </w:tr>
      <w:tr>
        <w:trPr>
          <w:trHeight w:val="216"/>
        </w:trPr>
        <w:tc>
          <w:tcPr>
            <w:tcW w:w="1140" w:type="dxa"/>
            <w:vAlign w:val="bottom"/>
          </w:tcPr>
          <w:p>
            <w:pPr>
              <w:jc w:val="right"/>
              <w:ind w:right="491"/>
              <w:spacing w:after="0"/>
              <w:rPr>
                <w:sz w:val="20"/>
                <w:szCs w:val="20"/>
                <w:color w:val="auto"/>
              </w:rPr>
            </w:pPr>
            <w:r>
              <w:rPr>
                <w:rFonts w:ascii="Arial" w:cs="Arial" w:eastAsia="Arial" w:hAnsi="Arial"/>
                <w:sz w:val="18"/>
                <w:szCs w:val="18"/>
                <w:color w:val="auto"/>
                <w:w w:val="86"/>
              </w:rPr>
              <w:t>§313(a)</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14.03(a)</w:t>
            </w:r>
          </w:p>
        </w:tc>
        <w:tc>
          <w:tcPr>
            <w:tcW w:w="0" w:type="dxa"/>
            <w:vAlign w:val="bottom"/>
          </w:tcPr>
          <w:p>
            <w:pPr>
              <w:spacing w:after="0"/>
              <w:rPr>
                <w:sz w:val="1"/>
                <w:szCs w:val="1"/>
                <w:color w:val="auto"/>
              </w:rPr>
            </w:pP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(b)</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14.03(a)</w:t>
            </w:r>
          </w:p>
        </w:tc>
        <w:tc>
          <w:tcPr>
            <w:tcW w:w="0" w:type="dxa"/>
            <w:vAlign w:val="bottom"/>
          </w:tcPr>
          <w:p>
            <w:pPr>
              <w:spacing w:after="0"/>
              <w:rPr>
                <w:sz w:val="1"/>
                <w:szCs w:val="1"/>
                <w:color w:val="auto"/>
              </w:rPr>
            </w:pP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(c)</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14.03(a), 14.03(b)</w:t>
            </w:r>
          </w:p>
        </w:tc>
        <w:tc>
          <w:tcPr>
            <w:tcW w:w="0" w:type="dxa"/>
            <w:vAlign w:val="bottom"/>
          </w:tcPr>
          <w:p>
            <w:pPr>
              <w:spacing w:after="0"/>
              <w:rPr>
                <w:sz w:val="1"/>
                <w:szCs w:val="1"/>
                <w:color w:val="auto"/>
              </w:rPr>
            </w:pP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(d)</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14.03(b)</w:t>
            </w:r>
          </w:p>
        </w:tc>
        <w:tc>
          <w:tcPr>
            <w:tcW w:w="0" w:type="dxa"/>
            <w:vAlign w:val="bottom"/>
          </w:tcPr>
          <w:p>
            <w:pPr>
              <w:spacing w:after="0"/>
              <w:rPr>
                <w:sz w:val="1"/>
                <w:szCs w:val="1"/>
                <w:color w:val="auto"/>
              </w:rPr>
            </w:pPr>
          </w:p>
        </w:tc>
      </w:tr>
      <w:tr>
        <w:trPr>
          <w:trHeight w:val="216"/>
        </w:trPr>
        <w:tc>
          <w:tcPr>
            <w:tcW w:w="1140" w:type="dxa"/>
            <w:vAlign w:val="bottom"/>
          </w:tcPr>
          <w:p>
            <w:pPr>
              <w:jc w:val="right"/>
              <w:ind w:right="491"/>
              <w:spacing w:after="0"/>
              <w:rPr>
                <w:sz w:val="20"/>
                <w:szCs w:val="20"/>
                <w:color w:val="auto"/>
              </w:rPr>
            </w:pPr>
            <w:r>
              <w:rPr>
                <w:rFonts w:ascii="Arial" w:cs="Arial" w:eastAsia="Arial" w:hAnsi="Arial"/>
                <w:sz w:val="18"/>
                <w:szCs w:val="18"/>
                <w:color w:val="auto"/>
                <w:w w:val="86"/>
              </w:rPr>
              <w:t>§314(a)</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4.05, 14.04</w:t>
            </w:r>
          </w:p>
        </w:tc>
        <w:tc>
          <w:tcPr>
            <w:tcW w:w="0" w:type="dxa"/>
            <w:vAlign w:val="bottom"/>
          </w:tcPr>
          <w:p>
            <w:pPr>
              <w:spacing w:after="0"/>
              <w:rPr>
                <w:sz w:val="1"/>
                <w:szCs w:val="1"/>
                <w:color w:val="auto"/>
              </w:rPr>
            </w:pP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(b)</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1140" w:type="dxa"/>
            <w:vAlign w:val="bottom"/>
          </w:tcPr>
          <w:p>
            <w:pPr>
              <w:jc w:val="right"/>
              <w:ind w:right="271"/>
              <w:spacing w:after="0"/>
              <w:rPr>
                <w:sz w:val="20"/>
                <w:szCs w:val="20"/>
                <w:color w:val="auto"/>
              </w:rPr>
            </w:pPr>
            <w:r>
              <w:rPr>
                <w:rFonts w:ascii="Arial" w:cs="Arial" w:eastAsia="Arial" w:hAnsi="Arial"/>
                <w:sz w:val="18"/>
                <w:szCs w:val="18"/>
                <w:color w:val="auto"/>
              </w:rPr>
              <w:t>(c)(1)</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6"/>
        </w:trPr>
        <w:tc>
          <w:tcPr>
            <w:tcW w:w="1140" w:type="dxa"/>
            <w:vAlign w:val="bottom"/>
          </w:tcPr>
          <w:p>
            <w:pPr>
              <w:jc w:val="right"/>
              <w:ind w:right="271"/>
              <w:spacing w:after="0"/>
              <w:rPr>
                <w:sz w:val="20"/>
                <w:szCs w:val="20"/>
                <w:color w:val="auto"/>
              </w:rPr>
            </w:pPr>
            <w:r>
              <w:rPr>
                <w:rFonts w:ascii="Arial" w:cs="Arial" w:eastAsia="Arial" w:hAnsi="Arial"/>
                <w:sz w:val="18"/>
                <w:szCs w:val="18"/>
                <w:color w:val="auto"/>
              </w:rPr>
              <w:t>(c)(2)</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6"/>
        </w:trPr>
        <w:tc>
          <w:tcPr>
            <w:tcW w:w="1140" w:type="dxa"/>
            <w:vAlign w:val="bottom"/>
          </w:tcPr>
          <w:p>
            <w:pPr>
              <w:jc w:val="right"/>
              <w:ind w:right="271"/>
              <w:spacing w:after="0"/>
              <w:rPr>
                <w:sz w:val="20"/>
                <w:szCs w:val="20"/>
                <w:color w:val="auto"/>
              </w:rPr>
            </w:pPr>
            <w:r>
              <w:rPr>
                <w:rFonts w:ascii="Arial" w:cs="Arial" w:eastAsia="Arial" w:hAnsi="Arial"/>
                <w:sz w:val="18"/>
                <w:szCs w:val="18"/>
                <w:color w:val="auto"/>
              </w:rPr>
              <w:t>(c)(3)</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(d)</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(e)</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6"/>
        </w:trPr>
        <w:tc>
          <w:tcPr>
            <w:tcW w:w="1140" w:type="dxa"/>
            <w:vAlign w:val="bottom"/>
          </w:tcPr>
          <w:p>
            <w:pPr>
              <w:jc w:val="right"/>
              <w:ind w:right="491"/>
              <w:spacing w:after="0"/>
              <w:rPr>
                <w:sz w:val="20"/>
                <w:szCs w:val="20"/>
                <w:color w:val="auto"/>
              </w:rPr>
            </w:pPr>
            <w:r>
              <w:rPr>
                <w:rFonts w:ascii="Arial" w:cs="Arial" w:eastAsia="Arial" w:hAnsi="Arial"/>
                <w:sz w:val="18"/>
                <w:szCs w:val="18"/>
                <w:color w:val="auto"/>
                <w:w w:val="86"/>
              </w:rPr>
              <w:t>§315(a)</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(b)</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6.06, 14.03(a)</w:t>
            </w:r>
          </w:p>
        </w:tc>
        <w:tc>
          <w:tcPr>
            <w:tcW w:w="0" w:type="dxa"/>
            <w:vAlign w:val="bottom"/>
          </w:tcPr>
          <w:p>
            <w:pPr>
              <w:spacing w:after="0"/>
              <w:rPr>
                <w:sz w:val="1"/>
                <w:szCs w:val="1"/>
                <w:color w:val="auto"/>
              </w:rPr>
            </w:pP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(c)</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(d)</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(e)</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§316(a)(1)(A)</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(a)(1)(B)</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5.02, 5.04</w:t>
            </w:r>
          </w:p>
        </w:tc>
        <w:tc>
          <w:tcPr>
            <w:tcW w:w="0" w:type="dxa"/>
            <w:vAlign w:val="bottom"/>
          </w:tcPr>
          <w:p>
            <w:pPr>
              <w:spacing w:after="0"/>
              <w:rPr>
                <w:sz w:val="1"/>
                <w:szCs w:val="1"/>
                <w:color w:val="auto"/>
              </w:rPr>
            </w:pPr>
          </w:p>
        </w:tc>
      </w:tr>
      <w:tr>
        <w:trPr>
          <w:trHeight w:val="216"/>
        </w:trPr>
        <w:tc>
          <w:tcPr>
            <w:tcW w:w="1140" w:type="dxa"/>
            <w:vAlign w:val="bottom"/>
          </w:tcPr>
          <w:p>
            <w:pPr>
              <w:jc w:val="right"/>
              <w:ind w:right="271"/>
              <w:spacing w:after="0"/>
              <w:rPr>
                <w:sz w:val="20"/>
                <w:szCs w:val="20"/>
                <w:color w:val="auto"/>
              </w:rPr>
            </w:pPr>
            <w:r>
              <w:rPr>
                <w:rFonts w:ascii="Arial" w:cs="Arial" w:eastAsia="Arial" w:hAnsi="Arial"/>
                <w:sz w:val="18"/>
                <w:szCs w:val="18"/>
                <w:color w:val="auto"/>
              </w:rPr>
              <w:t>(a)(2)</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(b)</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(c)</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7.02, 8.03</w:t>
            </w:r>
          </w:p>
        </w:tc>
        <w:tc>
          <w:tcPr>
            <w:tcW w:w="0" w:type="dxa"/>
            <w:vAlign w:val="bottom"/>
          </w:tcPr>
          <w:p>
            <w:pPr>
              <w:spacing w:after="0"/>
              <w:rPr>
                <w:sz w:val="1"/>
                <w:szCs w:val="1"/>
                <w:color w:val="auto"/>
              </w:rPr>
            </w:pPr>
          </w:p>
        </w:tc>
      </w:tr>
      <w:tr>
        <w:trPr>
          <w:trHeight w:val="216"/>
        </w:trPr>
        <w:tc>
          <w:tcPr>
            <w:tcW w:w="1140" w:type="dxa"/>
            <w:vAlign w:val="bottom"/>
          </w:tcPr>
          <w:p>
            <w:pPr>
              <w:jc w:val="right"/>
              <w:ind w:right="271"/>
              <w:spacing w:after="0"/>
              <w:rPr>
                <w:sz w:val="20"/>
                <w:szCs w:val="20"/>
                <w:color w:val="auto"/>
              </w:rPr>
            </w:pPr>
            <w:r>
              <w:rPr>
                <w:rFonts w:ascii="Arial" w:cs="Arial" w:eastAsia="Arial" w:hAnsi="Arial"/>
                <w:sz w:val="18"/>
                <w:szCs w:val="18"/>
                <w:color w:val="auto"/>
                <w:w w:val="90"/>
              </w:rPr>
              <w:t>§317(a)(1)</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1140" w:type="dxa"/>
            <w:vAlign w:val="bottom"/>
          </w:tcPr>
          <w:p>
            <w:pPr>
              <w:jc w:val="right"/>
              <w:ind w:right="271"/>
              <w:spacing w:after="0"/>
              <w:rPr>
                <w:sz w:val="20"/>
                <w:szCs w:val="20"/>
                <w:color w:val="auto"/>
              </w:rPr>
            </w:pPr>
            <w:r>
              <w:rPr>
                <w:rFonts w:ascii="Arial" w:cs="Arial" w:eastAsia="Arial" w:hAnsi="Arial"/>
                <w:sz w:val="18"/>
                <w:szCs w:val="18"/>
                <w:color w:val="auto"/>
              </w:rPr>
              <w:t>(a)(2)</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(b)</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318 (a)</w:t>
            </w:r>
          </w:p>
        </w:tc>
        <w:tc>
          <w:tcPr>
            <w:tcW w:w="10280" w:type="dxa"/>
            <w:vAlign w:val="bottom"/>
            <w:gridSpan w:val="2"/>
          </w:tcPr>
          <w:p>
            <w:pPr>
              <w:ind w:left="858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This cross-reference table shall not, for any purpose, be deemed to be part of this Indenture.</w:t>
      </w:r>
    </w:p>
    <w:p>
      <w:pPr>
        <w:sectPr>
          <w:pgSz w:w="11900" w:h="16838" w:orient="portrait"/>
          <w:cols w:equalWidth="0" w:num="1">
            <w:col w:w="11420"/>
          </w:cols>
          <w:pgMar w:left="240" w:top="274" w:right="239" w:bottom="1440" w:gutter="0" w:footer="0" w:header="0"/>
        </w:sectPr>
      </w:pPr>
    </w:p>
    <w:bookmarkStart w:id="43" w:name="page44"/>
    <w:bookmarkEnd w:id="43"/>
    <w:p>
      <w:pPr>
        <w:ind w:right="3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dated as of [●] between REGENXBIO Inc., a Delaware corporation (the “Company”), the Guarantors (as defined herein) and [●], as trustee (the “Trustee”).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WHEREAS, the Company and the Guarantors have duly authorized the execution and delivery of this Indenture to provide for the issuance from time to time of its unsecured debentures, notes or other evidences of indebtedness (herein called the “Securities”), to be issued in one or more series as in this Indenture provided; and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all things necessary to make the Indenture a valid indenture and agreement according to its terms, have been done.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w:t>
      </w:r>
    </w:p>
    <w:p>
      <w:pPr>
        <w:spacing w:after="0" w:line="225"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In consideration of the premises and the purchases of the Securities by the Holders thereof, the Company, the Guarantors and the Trustee mutually covenant and agree for the equal and proportionate benefit of the respective Holders from time to time of the Securities as follows: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Certain Terms Defined</w:t>
      </w:r>
      <w:r>
        <w:rPr>
          <w:rFonts w:ascii="Arial" w:cs="Arial" w:eastAsia="Arial" w:hAnsi="Arial"/>
          <w:sz w:val="17"/>
          <w:szCs w:val="17"/>
          <w:color w:val="auto"/>
        </w:rPr>
        <w:t>.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which are defined in the Trust Indenture Act or the definitions of which in the Securities Act are referred to in the Trust Indenture Act (except as herein otherwise expressly provided or unless the context otherwise clearly requires), shall have the meanings assigned to such terms in the Trust Indenture Act and in the Securities Act as in force at the date of this Indenture. All accounting terms used herein and not expressly defined shall have the meanings given to them in accordance with generally accepted accounting principles in the United States (whether or not such is indicated herein). The words “herein,” “hereof” and “hereunder” and other words of similar import refer to this Indenture as a whole and not to any particular Article, Section or other subdivision. The terms defined in this Article include the plural as well as the singular.</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“Agent Members” has the meaning provided in Section 3.08(a).</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“Board of Directors” means, with respect to any Person, the board of directors or board of managers of such Person, or any authorized committee of the board of directors or board of managers of such Person or any officer of such Person duly authorized by the board of directors or board of managers of such Person to take a specific action.</w:t>
      </w:r>
    </w:p>
    <w:p>
      <w:pPr>
        <w:spacing w:after="0" w:line="18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“Board Resolution” means, with respect to the Company or any Guarantor, a copy of a resolution certified by the Secretary or an Assistant Secretary of the Company or such Guarantor, respectively, to have been duly adopted by the Board of Directors of the Company or such Guarantor, respectively, and to be in full force and effect on the date of such certification, and delivered to the Trustee.</w:t>
      </w:r>
    </w:p>
    <w:p>
      <w:pPr>
        <w:spacing w:after="0" w:line="181"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“Business Day” means any day except a Saturday, Sunday or other day on which banking institutions or trust companies located in the same jurisdiction as the Payment Office specified pursuant to Section 3.01 are authorized or obligated by law or executive order to close, except as otherwise specified pursuant to Section 3.01.</w:t>
      </w:r>
    </w:p>
    <w:p>
      <w:pPr>
        <w:spacing w:after="0" w:line="18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“Commission” means the United States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ectPr>
          <w:pgSz w:w="11900" w:h="16838" w:orient="portrait"/>
          <w:cols w:equalWidth="0" w:num="1">
            <w:col w:w="11400"/>
          </w:cols>
          <w:pgMar w:left="240" w:top="274" w:right="259" w:bottom="1440" w:gutter="0" w:footer="0" w:header="0"/>
        </w:sectPr>
      </w:pPr>
    </w:p>
    <w:bookmarkStart w:id="44" w:name="page45"/>
    <w:bookmarkEnd w:id="44"/>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means the Person named as the “Company” in the first paragraph of this Indenture until a successor shall have become such pursuant to the applicable provisions of this Indenture, and thereafter “Company” shall mean such successor.</w:t>
      </w:r>
    </w:p>
    <w:p>
      <w:pPr>
        <w:spacing w:after="0" w:line="170"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“Company Request” or “Company Order” means a written request or order signed in the name of the Company by its Chairman of the Board of Directors, its President, its Chief Executive Officer, its Chief Financial Officer, its Treasurer, its Controller, its Secretary or an Assistant Secretary, and delivered to the Trustee.</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“Corporate Trust Office” means the corporate trust office of the Trustee at which the corporate trust business of the Trustee shall, at any particular time, be principally administered, which office is, at the date as of which this Indenture is dated, located at [●].</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“Default” means any event that is or with the passage of time or the giving of notice or both would be an Event of Default.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“Depositary” means The Depository Trust Company, its nominees, and their respective successors.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“Dollar” or “$” means a dollar or other equivalent unit in such coin or currency of the United States as at the time shall be legal tender for the payment of public and private debt.</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“Event of Default” means any event or condition specified as such in Section 5.01 which shall have continued for the period of time, if any, therein designated.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“GAAP”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 At any time after the Issue Date with respect to a series of Securities, the Company may elect to apply IFRS in lieu of GAAP and, upon any such election, references in this Indenture to GAAP shall thereafter be construed to mean IFRS as in effect from time to time. The Company shall give notice of any such election to the Trustee.</w:t>
      </w:r>
    </w:p>
    <w:p>
      <w:pPr>
        <w:spacing w:after="0" w:line="193"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“Global Security” means a Security, and any Guarantees endorsed thereon, evidencing all or part of a series of Securities and the corresponding Guarantees, if any, issued to the Depositary for that series in accordance with Section 3.05 and bearing the appropriate legend prescribed in Section 3.06.</w:t>
      </w:r>
    </w:p>
    <w:p>
      <w:pPr>
        <w:spacing w:after="0" w:line="1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“Government Securities” means direct obligations of, or obligations guaranteed by, the United States of America, and the payment for which the United States pledges its full faith and credit.</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“Guarantee” means with respect to the Securities of any series, the Guarantee with respect to the Securities of such series by the applicable Guarantor or Guarantors pursuant to Section 2.02 hereof and a supplemental indenture.</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“Guarantor” means, with respect to Securities of any series, any of the Company’s direct and indirect Subsidiaries, but only if such entity has guaranteed the Company’s obligations under this Indenture and with respect to such series of Securities pursuant to Section 2.01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release and discharge of any Person from its Guarantee in accordance with this Indenture or as specified pursuant to Section 3.01, such Person shall cease to be a Guarantor.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 “Holder of Securities” or other similar terms mean the registered holder of any Security.</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5" w:name="page46"/>
    <w:bookmarkEnd w:id="45"/>
    <w:p>
      <w:pPr>
        <w:ind w:right="2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“IFRS” means International Financial Reporting Standards promulgated by the International Accounting Standards Board (or any successor board or agency) and as adopted by the European Union, as in effect from time to time.</w:t>
      </w:r>
    </w:p>
    <w:p>
      <w:pPr>
        <w:spacing w:after="0" w:line="170"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“Indenture” means this indenture as originally executed or as it may from time to time be supplemented or amended by one or more indentures supplemental hereto entered into pursuant to the applicable provisions hereof and shall include the terms of particular series of Securities established as contemplated hereunder.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“Interest Payment Date” means, when used with respect to any Security, the Stated Maturity of an installment of interest on such Security.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“Issue Date” means, with respect to Securities of a series, the first date on which the Securities of such series are originally issued under this Indenture.</w:t>
      </w:r>
    </w:p>
    <w:p>
      <w:pPr>
        <w:spacing w:after="0" w:line="24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“Maturity,” means, when used with respect to any Security, the date on which the principal of such Security or an installment of principal becomes due and payable as therein or herein provided, whether at the Stated Maturity or by declaration of acceleration, call for redemption or otherwise.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of Default” has the meaning provided in Section 6.06.</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“Officers’ Certificate” means a certificate signed on behalf of the Company by an officer of the Company (or on behalf of a Guarantor by an officer of such Guarantor, as the case may be) that meets the requirements of Section 15.06 hereof.</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“Opinion of Counsel” means an opinion in writing signed by legal counsel who may be an employee of or counsel to the Company or a Guarantor or who may be other counsel satisfactory to the Trustee.</w:t>
      </w:r>
    </w:p>
    <w:p>
      <w:pPr>
        <w:spacing w:after="0" w:line="170" w:lineRule="exact"/>
        <w:rPr>
          <w:sz w:val="20"/>
          <w:szCs w:val="20"/>
          <w:color w:val="auto"/>
        </w:rPr>
      </w:pPr>
    </w:p>
    <w:p>
      <w:pPr>
        <w:ind w:right="980" w:firstLine="456"/>
        <w:spacing w:after="0" w:line="277" w:lineRule="auto"/>
        <w:rPr>
          <w:sz w:val="20"/>
          <w:szCs w:val="20"/>
          <w:color w:val="auto"/>
        </w:rPr>
      </w:pPr>
      <w:r>
        <w:rPr>
          <w:rFonts w:ascii="Arial" w:cs="Arial" w:eastAsia="Arial" w:hAnsi="Arial"/>
          <w:sz w:val="18"/>
          <w:szCs w:val="18"/>
          <w:color w:val="auto"/>
        </w:rPr>
        <w:t>“outstanding” means, when used with reference to Securities, subject to the provisions of Article 7, as of any particular time, all Securities authenticated and delivered by the Trustee under this Indenture, except</w:t>
      </w:r>
    </w:p>
    <w:p>
      <w:pPr>
        <w:spacing w:after="0" w:line="62" w:lineRule="exact"/>
        <w:rPr>
          <w:sz w:val="20"/>
          <w:szCs w:val="20"/>
          <w:color w:val="auto"/>
        </w:rPr>
      </w:pPr>
    </w:p>
    <w:p>
      <w:pPr>
        <w:ind w:left="1140" w:hanging="237"/>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117" w:lineRule="exact"/>
        <w:rPr>
          <w:rFonts w:ascii="Arial" w:cs="Arial" w:eastAsia="Arial" w:hAnsi="Arial"/>
          <w:sz w:val="18"/>
          <w:szCs w:val="18"/>
          <w:color w:val="auto"/>
        </w:rPr>
      </w:pPr>
    </w:p>
    <w:p>
      <w:pPr>
        <w:ind w:left="460" w:right="160" w:firstLine="443"/>
        <w:spacing w:after="0" w:line="257" w:lineRule="auto"/>
        <w:tabs>
          <w:tab w:leader="none" w:pos="11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Securities, or portions thereof, for the payment or redemption of which moneys in the necessary amount shall have been deposited in trust with the Trustee or with any Paying Agent (other than the Company or a Guarantor) or shall have been set aside, segregated and held in trust by the Company or a Guarantor (if the Company or a Guarantor shall act as Paying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Securities are to be redeemed prior to the maturity thereof, notice of such redemption shall have been given as herein provided, or provision satisfactory to a Responsible Officer of the Trustee shall have been made for giving such notice;</w:t>
      </w:r>
    </w:p>
    <w:p>
      <w:pPr>
        <w:spacing w:after="0" w:line="80" w:lineRule="exact"/>
        <w:rPr>
          <w:rFonts w:ascii="Arial" w:cs="Arial" w:eastAsia="Arial" w:hAnsi="Arial"/>
          <w:sz w:val="18"/>
          <w:szCs w:val="18"/>
          <w:color w:val="auto"/>
        </w:rPr>
      </w:pPr>
    </w:p>
    <w:p>
      <w:pPr>
        <w:ind w:left="460" w:firstLine="443"/>
        <w:spacing w:after="0" w:line="264" w:lineRule="auto"/>
        <w:tabs>
          <w:tab w:leader="none" w:pos="11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Securities in substitution for which other Securities shall have been authenticated and delivered, or which shall have been paid, pursuant to the terms of Section 3.09 (unless proof satisfactory to the Trustee and the Company is presented that any of such Securities is held by a person in whose hands such Security is a legal, valid and binding obligation of the Company);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Securities that have been defeased pursuant to Section 12.01.</w:t>
      </w:r>
    </w:p>
    <w:p>
      <w:pPr>
        <w:spacing w:after="0" w:line="225"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“Paying Agent” means any Person authorized by the Company to pay the principal of (and premium, if any) and interest, if any, on any Securities on behalf of the Company. The Company or a Guarantor may act as Paying Agent with respect to any Securities issued hereunder.</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“Payment Office” means, when used with respect to the Securities of or within any series, the place or places where the principal of (and premium, if any) and interest on such Securities are payable as specified pursuant to Section 3.01.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6" w:name="page47"/>
    <w:bookmarkEnd w:id="46"/>
    <w:p>
      <w:pPr>
        <w:ind w:right="2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 means any individual, corporation, partnership, joint stock company, business trust, trust, unincorporated association, joint venture or other entity or organization, including a government or political subdivision or an agency or instrumentality thereof.</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“Physical Securities” means Securities issued pursuant to Section 3.02 in exchange for interest in the Global Security or pursuant to Section 3.08(b) in registered form substantially in the form hereinabove recited.</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“Principal Amount” means, when used with respect to any Security, the amount of principal of such Security that could then be declared due and payable pursuant to Section 5.02.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“Registrar” has the meaning provided in Section 3.07.</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“Regular Record Date” for the interest payable on any Interest Payment Date on the Securities of any series means the date specified for that purpose as contemplated by Section 3.01.</w:t>
      </w:r>
    </w:p>
    <w:p>
      <w:pPr>
        <w:spacing w:after="0" w:line="170"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“Responsible Officer” means, when used with respect to the Trustee, any officer within the Corporate Trust Office of the Trustee including any vice president, any trust officer, any assistant vice president, any assistant secretary, any assistant treasurer, or any other officer of the Trustee customarily performing functions similar to those performed by the persons who at the time shall be such officers, respectively, or to whom any corporate trust matter is referred because of his or her knowledge of and familiarity with the particular subject and who shall have direct responsibility for the administration of this Indenture.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Act” means the Securities Act of 1933,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“Security” or “Securities” means any Security or Securities, as the case may be, authenticated and delivered under this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“Security Register” has the meaning provided in Section 3.07.</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“Stated Maturity” means, when used with respect to any Security or any installment of principal thereof or interest thereon, the date specified in such Security or a coupon representing such installment of interest as the fixed date on which the principal of such Security or such installment of principal or interest is due and payable.</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“Subsidiary” means, as applied, with respect to any Person, any corporation, partnership or other legal entity of which, in the case of a corporation, more than 50% of the issued and outstanding capital stock having ordinary voting power to elect a majority of the board of directors of such corporation (irrespective of whether at the time capital stock of any other class or classes of such corporation has or might have voting power upon the occurrence of any contingency), or, in the case of any partnership or other legal entity, more than 50% of the ordinary equity capital interests, is at the time directly or indirectly owned or controlled by such Person, by such Person and one or more of its other Subsidiaries or by one or more of such Person’s other Subsidiaries.</w:t>
      </w:r>
    </w:p>
    <w:p>
      <w:pPr>
        <w:spacing w:after="0" w:line="158"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“Trust Indenture Act” means the Trust Indenture Act of 1939, as amended, as in force at the date as of which this Indenture was originally executed, and “TIA” means, when used in respect of an indenture supplemental hereto, such Act as in force at the time such indenture supplemental hereto becomes effective.</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“Trustee”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any time there is more than one such Person, “Trustee” as used with respect to the Securities of any series shall mean only the Trustee with respect to Securities of that series.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7" w:name="page48"/>
    <w:bookmarkEnd w:id="4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1.02. </w:t>
      </w:r>
      <w:r>
        <w:rPr>
          <w:rFonts w:ascii="Arial" w:cs="Arial" w:eastAsia="Arial" w:hAnsi="Arial"/>
          <w:sz w:val="18"/>
          <w:szCs w:val="18"/>
          <w:u w:val="single" w:color="auto"/>
          <w:color w:val="auto"/>
        </w:rPr>
        <w:t>Other Definitions</w:t>
      </w:r>
      <w:r>
        <w:rPr>
          <w:rFonts w:ascii="Arial" w:cs="Arial" w:eastAsia="Arial" w:hAnsi="Arial"/>
          <w:sz w:val="18"/>
          <w:szCs w:val="18"/>
          <w:color w:val="auto"/>
        </w:rPr>
        <w:t>.</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8"/>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3580" w:type="dxa"/>
            <w:vAlign w:val="bottom"/>
            <w:gridSpan w:val="2"/>
          </w:tcPr>
          <w:p>
            <w:pPr>
              <w:jc w:val="center"/>
              <w:ind w:left="2354"/>
              <w:spacing w:after="0"/>
              <w:rPr>
                <w:sz w:val="20"/>
                <w:szCs w:val="20"/>
                <w:color w:val="auto"/>
              </w:rPr>
            </w:pPr>
            <w:r>
              <w:rPr>
                <w:rFonts w:ascii="Arial" w:cs="Arial" w:eastAsia="Arial" w:hAnsi="Arial"/>
                <w:sz w:val="14"/>
                <w:szCs w:val="14"/>
                <w:b w:val="1"/>
                <w:bCs w:val="1"/>
                <w:color w:val="auto"/>
                <w:w w:val="90"/>
              </w:rPr>
              <w:t>Defined in Section</w:t>
            </w:r>
          </w:p>
        </w:tc>
      </w:tr>
      <w:tr>
        <w:trPr>
          <w:trHeight w:val="296"/>
        </w:trPr>
        <w:tc>
          <w:tcPr>
            <w:tcW w:w="4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“Authorized Agent”</w:t>
            </w:r>
          </w:p>
        </w:tc>
        <w:tc>
          <w:tcPr>
            <w:tcW w:w="2460" w:type="dxa"/>
            <w:vAlign w:val="bottom"/>
          </w:tcPr>
          <w:p>
            <w:pPr>
              <w:spacing w:after="0"/>
              <w:rPr>
                <w:sz w:val="24"/>
                <w:szCs w:val="24"/>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15.12</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“Covenant Defeasance”</w:t>
            </w:r>
          </w:p>
        </w:tc>
        <w:tc>
          <w:tcPr>
            <w:tcW w:w="3580" w:type="dxa"/>
            <w:vAlign w:val="bottom"/>
            <w:gridSpan w:val="2"/>
          </w:tcPr>
          <w:p>
            <w:pPr>
              <w:jc w:val="center"/>
              <w:ind w:left="2354"/>
              <w:spacing w:after="0"/>
              <w:rPr>
                <w:sz w:val="20"/>
                <w:szCs w:val="20"/>
                <w:color w:val="auto"/>
              </w:rPr>
            </w:pPr>
            <w:r>
              <w:rPr>
                <w:rFonts w:ascii="Arial" w:cs="Arial" w:eastAsia="Arial" w:hAnsi="Arial"/>
                <w:sz w:val="18"/>
                <w:szCs w:val="18"/>
                <w:color w:val="auto"/>
                <w:w w:val="93"/>
              </w:rPr>
              <w:t>12.03</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“Legal Defeasance”</w:t>
            </w:r>
          </w:p>
        </w:tc>
        <w:tc>
          <w:tcPr>
            <w:tcW w:w="3580" w:type="dxa"/>
            <w:vAlign w:val="bottom"/>
            <w:gridSpan w:val="2"/>
          </w:tcPr>
          <w:p>
            <w:pPr>
              <w:jc w:val="center"/>
              <w:ind w:left="2354"/>
              <w:spacing w:after="0"/>
              <w:rPr>
                <w:sz w:val="20"/>
                <w:szCs w:val="20"/>
                <w:color w:val="auto"/>
              </w:rPr>
            </w:pPr>
            <w:r>
              <w:rPr>
                <w:rFonts w:ascii="Arial" w:cs="Arial" w:eastAsia="Arial" w:hAnsi="Arial"/>
                <w:sz w:val="18"/>
                <w:szCs w:val="18"/>
                <w:color w:val="auto"/>
                <w:w w:val="93"/>
              </w:rPr>
              <w:t>12.02</w:t>
            </w: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“Specified Courts”</w:t>
            </w:r>
          </w:p>
        </w:tc>
        <w:tc>
          <w:tcPr>
            <w:tcW w:w="3580" w:type="dxa"/>
            <w:vAlign w:val="bottom"/>
            <w:gridSpan w:val="2"/>
          </w:tcPr>
          <w:p>
            <w:pPr>
              <w:jc w:val="center"/>
              <w:ind w:left="2354"/>
              <w:spacing w:after="0"/>
              <w:rPr>
                <w:sz w:val="20"/>
                <w:szCs w:val="20"/>
                <w:color w:val="auto"/>
              </w:rPr>
            </w:pPr>
            <w:r>
              <w:rPr>
                <w:rFonts w:ascii="Arial" w:cs="Arial" w:eastAsia="Arial" w:hAnsi="Arial"/>
                <w:sz w:val="18"/>
                <w:szCs w:val="18"/>
                <w:color w:val="auto"/>
                <w:w w:val="93"/>
              </w:rPr>
              <w:t>15.12</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700" w:hanging="23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225" w:lineRule="exact"/>
        <w:rPr>
          <w:rFonts w:ascii="Arial" w:cs="Arial" w:eastAsia="Arial" w:hAnsi="Arial"/>
          <w:sz w:val="18"/>
          <w:szCs w:val="18"/>
          <w:color w:val="auto"/>
        </w:rPr>
      </w:pPr>
    </w:p>
    <w:p>
      <w:pPr>
        <w:ind w:right="220" w:firstLine="464"/>
        <w:spacing w:after="0" w:line="277" w:lineRule="auto"/>
        <w:tabs>
          <w:tab w:leader="none" w:pos="681"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references in this instrument to Articles and Sections are references to the corresponding Articles and Sections in and of this instrument unless the context requires otherwise.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SECURITY FORMS</w:t>
      </w:r>
    </w:p>
    <w:p>
      <w:pPr>
        <w:spacing w:after="0" w:line="2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Forms Generally</w:t>
      </w:r>
      <w:r>
        <w:rPr>
          <w:rFonts w:ascii="Arial" w:cs="Arial" w:eastAsia="Arial" w:hAnsi="Arial"/>
          <w:sz w:val="16"/>
          <w:szCs w:val="16"/>
          <w:color w:val="auto"/>
        </w:rPr>
        <w:t>. The Securities of each series, and all Guarantees endorsed thereon, if any, shall be in substantially the forms as shall be established by or pursuant to a Board Resolution of the Company (and a Board Resolution of each Guarantor with respect to the Guarantees, if any)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and Guarantees, if any, as evidenced by their execution of the Securities and Guarantees. If the form of Securities of any series, and any Guarantees endorsed thereon, is established by action taken pursuant to a Board Resolution, a copy of an appropriate record of such action shall be certified by the Secretary or an Assistant Secretary of the Company, and by the Secretary or Assistant Secretary of the Guarantors, if any, and delivered to the Trustee at or prior to the delivery of the Company Order contemplated by Section 3.02 for the authentication and delivery of such Securities.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Trustee’s certificate of authentication on all Securities shall be in substantially the form set forth in this Article.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definitive Securities of any series shall be printed, lithographed or engraved on steel-engraved borders or may be produced in any other manner, all as determined by the officers executing such Securities, as evidenced by their execution of such Securities.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2.02. </w:t>
      </w:r>
      <w:r>
        <w:rPr>
          <w:rFonts w:ascii="Arial" w:cs="Arial" w:eastAsia="Arial" w:hAnsi="Arial"/>
          <w:sz w:val="18"/>
          <w:szCs w:val="18"/>
          <w:u w:val="single" w:color="auto"/>
          <w:color w:val="auto"/>
        </w:rPr>
        <w:t>Guarantees by Guarantor; Form of Guarantee; Release of Guarantee</w:t>
      </w:r>
      <w:r>
        <w:rPr>
          <w:rFonts w:ascii="Arial" w:cs="Arial" w:eastAsia="Arial" w:hAnsi="Arial"/>
          <w:sz w:val="18"/>
          <w:szCs w:val="18"/>
          <w:color w:val="auto"/>
        </w:rPr>
        <w:t>.</w:t>
      </w:r>
    </w:p>
    <w:p>
      <w:pPr>
        <w:spacing w:after="0" w:line="225" w:lineRule="exact"/>
        <w:rPr>
          <w:sz w:val="20"/>
          <w:szCs w:val="20"/>
          <w:color w:val="auto"/>
        </w:rPr>
      </w:pPr>
    </w:p>
    <w:p>
      <w:pPr>
        <w:ind w:right="160" w:firstLine="464"/>
        <w:spacing w:after="0" w:line="277" w:lineRule="auto"/>
        <w:tabs>
          <w:tab w:leader="none" w:pos="701"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Except as otherwise specified in or pursuant to the Officers’ Certificate or supplemental indenture contemplated by Section 3.01(b), the provisions of this Section 2.02 will be applicable to any series of Securities that is to be guaranteed by one or more Guarantors.</w:t>
      </w:r>
    </w:p>
    <w:p>
      <w:pPr>
        <w:spacing w:after="0" w:line="170" w:lineRule="exact"/>
        <w:rPr>
          <w:rFonts w:ascii="Arial" w:cs="Arial" w:eastAsia="Arial" w:hAnsi="Arial"/>
          <w:sz w:val="18"/>
          <w:szCs w:val="18"/>
          <w:color w:val="auto"/>
        </w:rPr>
      </w:pPr>
    </w:p>
    <w:p>
      <w:pPr>
        <w:ind w:firstLine="464"/>
        <w:spacing w:after="0" w:line="279" w:lineRule="auto"/>
        <w:tabs>
          <w:tab w:leader="none" w:pos="711" w:val="left"/>
        </w:tabs>
        <w:numPr>
          <w:ilvl w:val="0"/>
          <w:numId w:val="47"/>
        </w:numPr>
        <w:rPr>
          <w:rFonts w:ascii="Arial" w:cs="Arial" w:eastAsia="Arial" w:hAnsi="Arial"/>
          <w:sz w:val="17"/>
          <w:szCs w:val="17"/>
          <w:color w:val="auto"/>
        </w:rPr>
      </w:pPr>
      <w:r>
        <w:rPr>
          <w:rFonts w:ascii="Arial" w:cs="Arial" w:eastAsia="Arial" w:hAnsi="Arial"/>
          <w:sz w:val="17"/>
          <w:szCs w:val="17"/>
          <w:color w:val="auto"/>
        </w:rPr>
        <w:t>Each Guarantor by its execution of this Indenture hereby agrees with each Holder of a Security of each series that is guaranteed by such Guarantor and authenticated and delivered by the Trustee and with the Trustee on behalf of each such Holder, to be unconditionally bound by the terms and provisions of the Guarantee set forth below and authorizes the Trustee to confirm such Guarantee to the Holder of each such Security by its execution and delivery of each such Security, with such Guarantee endorsed thereon, authenticated and delivered by the Trustee.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Guarantees to be endorsed on the Securities shall, subject to this Section 2.02, be in substantially the form set forth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[GUARANTOR]</w:t>
      </w:r>
    </w:p>
    <w:p>
      <w:pPr>
        <w:spacing w:after="0" w:line="22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For value received, [●] (the “Guarantor”) hereby unconditionally and irrevocably guarantees, jointly and severally, to the Holder of the Security upon which this Guarantee is endorsed and to the Trustee on behalf of each such Holder the due and punctual payment of the principal of, premium, if any, interest and additional amounts, if any, on such Security and the due and punctual payment of any sinking fund or analogous payments referred to therein, if any, when and as the same shall become due and payable, whether on the Stated Maturity, by declaration of acceleration, call for redemption or otherwise, according to the terms thereof and of the Indenture dated as of [●] among REGENXBIO Inc. (hereinafter called the “Company,” which term includes any successor Person thereto under the Indenture), the Guarantors (as defined therein) and [●], as trustee (the “Indenture” and as supplemented by any applicable supplemental indenture, the “Indenture”). In case of the failure of the Company punctually to make any such payment of principal, premium, if any, or interest, and additional amounts, if any, or any sinking fund or analogous payment, the Guarantor, for so long as this Guarantee shall be in effect, hereby agrees to cause any such payment to be made to or to the order of the Trustee punctually when and as the same shall become due and payable, whether on the Stated Maturity or by declaration of acceleration, call for redemption or otherwise, and as if such payment were made by the Company.</w:t>
      </w:r>
    </w:p>
    <w:p>
      <w:pPr>
        <w:spacing w:after="0" w:line="169"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Guarantor hereby agrees, to the extent permitted by law, that its obligations hereunder shall be as if it were the principal debtor and not merely surety, and shall be absolute and unconditional, irrespective of, and shall be unaffected by, any invalidity, irregularity or unenforceability of such Security or the Indenture, any failure to enforce the provisions of such Security or the Indenture, or any waiver, modification or indulgence granted to the Company with respect thereto, by the Holder of such Security or the Trustee or any other circumstance which may otherwise constitute a legal or equitable discharge of a surety or guarantor. The Guarantor hereby waives, to the extent permitted by law, diligence, presentment, demand of payment, filing of claims with a court in the event of merger or bankruptcy of the Company, any right to require a proceeding first against the Company, protest or notice with respect to such Security or the indebtedness evidenced thereby or with respect to any sinking fund or analogous payment required under such Security and all demands whatsoever, and covenants that this Guarantee will not be discharged except by payment in full of the principal of, premium, if any, and interest on such Security or as otherwise described in Section 2.02 of the Indenture.</w:t>
      </w:r>
    </w:p>
    <w:p>
      <w:pPr>
        <w:spacing w:after="0" w:line="182"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This Guarantee shall be automatically and unconditionally released on the terms set forth in Section 2.02(c) of the Indenture and such terms as have been specified pursuant to Section 3.01.</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The Guarantor shall be subrogated to all rights of the Holder of such Security and the Trustee against the Company in respect of any amounts paid to such Holder by the Guarantor pursuant to the provisions of this Guarantee;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Guarantor shall not be entitled to enforce, or to receive any payments arising out of or based upon such right of subrogation until the principal of, premium, if any, and interest on all Securities of the same series issued under the Indenture shall have been paid in full.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49" w:name="page50"/>
    <w:bookmarkEnd w:id="49"/>
    <w:p>
      <w:pPr>
        <w:ind w:right="6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Guarantor hereby agrees that its obligations hereunder shall be direct, unconditioned and unsubordinated and will rank equally and ratably without preference and at least equally with other senior unsecured and unsubordinated obligations of the Guarantor, except to the extent prescribed by law. The Holder of a guaranteed Security will be entitled to payment under the Guarantee without taking any action whatsoever against the Company.</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No reference herein to the Indenture and no provision of this Guarantee or of the Indenture shall alter or impair the guarantee of the Guarantor, which is absolute and unconditional, of the due and punctual payment of the principal of, premium, if any, and interest on, any additional amounts, and any sinking fund or analogous payments with respect to, the Security upon which this Guarantee is endorsed.</w:t>
      </w:r>
    </w:p>
    <w:p>
      <w:pPr>
        <w:spacing w:after="0" w:line="18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This Guarantee shall not be valid or obligatory for any purpose until the certificate of authentication of such Security shall have been manually executed by or on behalf of the Trustee under the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terms used in this Guarantee that are defined in the Indenture shall have the meanings assigned to them in the Indenture.</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This Guarantee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Executed and dated the date on the face 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[GUARANTOR]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700" w:hanging="23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Release of Guarantee</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76" w:lineRule="auto"/>
        <w:tabs>
          <w:tab w:leader="none" w:pos="671"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Guarantee of a Guarantor relating to a series of Securities shall be released automatically and unconditionally, and such Guarantor shall be relieved of all of its obligations under its Guarantee of such Securities, (A) upon defeasance or discharge of such series of Securities as provided in Article 12 or Article 13 of this Indenture, (B) if for any reason, such Guarantor ceases to be a Subsidiary of the Company, or (C) in connection with any sale, disposition or transfer of all or substantially all of the assets of that Guarantor (including by way of merger or consolidation) to a Person that is not (either before or after giving effect to such transaction) the Company or a Subsidiary of the Company.</w:t>
      </w:r>
    </w:p>
    <w:p>
      <w:pPr>
        <w:spacing w:after="0" w:line="172" w:lineRule="exact"/>
        <w:rPr>
          <w:rFonts w:ascii="Arial" w:cs="Arial" w:eastAsia="Arial" w:hAnsi="Arial"/>
          <w:sz w:val="17"/>
          <w:szCs w:val="17"/>
          <w:color w:val="auto"/>
        </w:rPr>
      </w:pPr>
    </w:p>
    <w:p>
      <w:pPr>
        <w:ind w:right="180" w:firstLine="464"/>
        <w:spacing w:after="0" w:line="264" w:lineRule="auto"/>
        <w:tabs>
          <w:tab w:leader="none" w:pos="72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Guarantee of a Guarantor relating to a series of Securities shall be released automatically and unconditionally, and such Guarantor shall be relieved of all of its obligations under its Guarantee of such Securities, in any additional circumstances provided in the terms of the Securities of such series established pursuant to Section 3.01 of this Indenture and any relevant supplemental indenture.</w:t>
      </w:r>
    </w:p>
    <w:p>
      <w:pPr>
        <w:spacing w:after="0" w:line="181" w:lineRule="exact"/>
        <w:rPr>
          <w:rFonts w:ascii="Arial" w:cs="Arial" w:eastAsia="Arial" w:hAnsi="Arial"/>
          <w:sz w:val="18"/>
          <w:szCs w:val="18"/>
          <w:color w:val="auto"/>
        </w:rPr>
      </w:pPr>
    </w:p>
    <w:p>
      <w:pPr>
        <w:ind w:right="680" w:firstLine="464"/>
        <w:spacing w:after="0" w:line="277" w:lineRule="auto"/>
        <w:tabs>
          <w:tab w:leader="none" w:pos="761"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such time as a Guarantor’s Guarantee is released with respect to any series of Securities, such Guarantor will no longer be considered a “Guarantor” of such series of Securities.</w:t>
      </w:r>
    </w:p>
    <w:p>
      <w:pPr>
        <w:spacing w:after="0" w:line="170" w:lineRule="exact"/>
        <w:rPr>
          <w:rFonts w:ascii="Arial" w:cs="Arial" w:eastAsia="Arial" w:hAnsi="Arial"/>
          <w:sz w:val="18"/>
          <w:szCs w:val="18"/>
          <w:color w:val="auto"/>
        </w:rPr>
      </w:pPr>
    </w:p>
    <w:p>
      <w:pPr>
        <w:jc w:val="both"/>
        <w:ind w:right="100" w:firstLine="464"/>
        <w:spacing w:after="0" w:line="302" w:lineRule="auto"/>
        <w:tabs>
          <w:tab w:leader="none" w:pos="761"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The Trustee shall promptly execute any documents reasonably requested by the Company or applicable Guarantor relating to a series of Securities in order to evidence the release of such Guarantor from its obligations under its Guarantee of the Securities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shall not be obligated to execute or deliver any document evidencing the release of a Guarantee pursuant to this Section 2.02(c) unless the Company has delivered an Officers’ Certificate or an Opinion of Counsel to the effect that such release is in accordance with the provisions of this Indenture.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50" w:name="page51"/>
    <w:bookmarkEnd w:id="5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2.03. </w:t>
      </w:r>
      <w:r>
        <w:rPr>
          <w:rFonts w:ascii="Arial" w:cs="Arial" w:eastAsia="Arial" w:hAnsi="Arial"/>
          <w:sz w:val="16"/>
          <w:szCs w:val="16"/>
          <w:u w:val="single" w:color="auto"/>
          <w:color w:val="auto"/>
        </w:rPr>
        <w:t>Form of Trustee’s Certificate of Authentication</w:t>
      </w:r>
      <w:r>
        <w:rPr>
          <w:rFonts w:ascii="Arial" w:cs="Arial" w:eastAsia="Arial" w:hAnsi="Arial"/>
          <w:sz w:val="16"/>
          <w:szCs w:val="16"/>
          <w:color w:val="auto"/>
        </w:rPr>
        <w:t>. The Trustee’s certificate of authentication shall be substantially in the following form:</w:t>
      </w: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w w:val="94"/>
              </w:rPr>
              <w:t>This is one of the Securities of the series designated therein referred to in the within-mentioned Indenture.</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6460" w:type="dxa"/>
            <w:vAlign w:val="bottom"/>
          </w:tcPr>
          <w:p>
            <w:pPr>
              <w:ind w:left="6400"/>
              <w:spacing w:after="0"/>
              <w:rPr>
                <w:sz w:val="20"/>
                <w:szCs w:val="20"/>
                <w:color w:val="auto"/>
              </w:rPr>
            </w:pPr>
            <w:r>
              <w:rPr>
                <w:rFonts w:ascii="Arial" w:cs="Arial" w:eastAsia="Arial" w:hAnsi="Arial"/>
                <w:sz w:val="18"/>
                <w:szCs w:val="18"/>
                <w:color w:val="auto"/>
                <w:w w:val="78"/>
              </w:rPr>
              <w:t>[</w:t>
            </w:r>
          </w:p>
        </w:tc>
        <w:tc>
          <w:tcPr>
            <w:tcW w:w="1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r>
      <w:tr>
        <w:trPr>
          <w:trHeight w:val="237"/>
        </w:trPr>
        <w:tc>
          <w:tcPr>
            <w:tcW w:w="7960" w:type="dxa"/>
            <w:vAlign w:val="bottom"/>
            <w:gridSpan w:val="2"/>
          </w:tcPr>
          <w:p>
            <w:pPr>
              <w:ind w:left="6400"/>
              <w:spacing w:after="0"/>
              <w:rPr>
                <w:sz w:val="20"/>
                <w:szCs w:val="20"/>
                <w:color w:val="auto"/>
              </w:rPr>
            </w:pPr>
            <w:r>
              <w:rPr>
                <w:rFonts w:ascii="Arial" w:cs="Arial" w:eastAsia="Arial" w:hAnsi="Arial"/>
                <w:sz w:val="18"/>
                <w:szCs w:val="18"/>
                <w:color w:val="auto"/>
              </w:rPr>
              <w:t>as Trustee</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2"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4606290</wp:posOffset>
            </wp:positionH>
            <wp:positionV relativeFrom="paragraph">
              <wp:posOffset>14605</wp:posOffset>
            </wp:positionV>
            <wp:extent cx="26327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ISSUE, EXECUTION, FORM AND REGISTRATION OF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w:t>
      </w:r>
    </w:p>
    <w:p>
      <w:pPr>
        <w:spacing w:after="0" w:line="225" w:lineRule="exact"/>
        <w:rPr>
          <w:sz w:val="20"/>
          <w:szCs w:val="20"/>
          <w:color w:val="auto"/>
        </w:rPr>
      </w:pPr>
    </w:p>
    <w:p>
      <w:pPr>
        <w:ind w:left="680" w:hanging="236"/>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aggregate principal amount of Securities which may be authenticated and delivered under this Indenture is unlimited.</w:t>
      </w:r>
    </w:p>
    <w:p>
      <w:pPr>
        <w:spacing w:after="0" w:line="225" w:lineRule="exact"/>
        <w:rPr>
          <w:rFonts w:ascii="Arial" w:cs="Arial" w:eastAsia="Arial" w:hAnsi="Arial"/>
          <w:sz w:val="18"/>
          <w:szCs w:val="18"/>
          <w:color w:val="auto"/>
        </w:rPr>
      </w:pPr>
    </w:p>
    <w:p>
      <w:pPr>
        <w:jc w:val="both"/>
        <w:ind w:left="-20" w:firstLine="464"/>
        <w:spacing w:after="0" w:line="259" w:lineRule="auto"/>
        <w:tabs>
          <w:tab w:leader="none" w:pos="69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Securities may be issued from time to time in one or more series. Prior to the issuance of Securities of any series, there shall be established in or pursuant to (i) a Board Resolution of the Company and each Guarantor, if any, of the Securities of such series, (ii) action taken pursuant to a Board Resolution and (subject to Sections 3.03 and 3.04) set forth, or determined in the manner provided, in an Officers’ Certificate of the Company and each Guarantor, if any, of the Securities of such series, or (iii) one or more indentures supplemental hereto:</w:t>
      </w:r>
    </w:p>
    <w:p>
      <w:pPr>
        <w:spacing w:after="0" w:line="78" w:lineRule="exact"/>
        <w:rPr>
          <w:rFonts w:ascii="Arial" w:cs="Arial" w:eastAsia="Arial" w:hAnsi="Arial"/>
          <w:sz w:val="18"/>
          <w:szCs w:val="18"/>
          <w:color w:val="auto"/>
        </w:rPr>
      </w:pPr>
    </w:p>
    <w:p>
      <w:pPr>
        <w:ind w:left="1140" w:hanging="257"/>
        <w:spacing w:after="0"/>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the series from all other Securities);</w:t>
      </w:r>
    </w:p>
    <w:p>
      <w:pPr>
        <w:spacing w:after="0" w:line="117" w:lineRule="exact"/>
        <w:rPr>
          <w:rFonts w:ascii="Arial" w:cs="Arial" w:eastAsia="Arial" w:hAnsi="Arial"/>
          <w:sz w:val="18"/>
          <w:szCs w:val="18"/>
          <w:color w:val="auto"/>
        </w:rPr>
      </w:pPr>
    </w:p>
    <w:p>
      <w:pPr>
        <w:ind w:left="1140" w:hanging="257"/>
        <w:spacing w:after="0"/>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whether or not such Securities are to be guaranteed pursuant to Section 2.02 and, if so, the Guarantor or Guarantors thereof;</w:t>
      </w:r>
    </w:p>
    <w:p>
      <w:pPr>
        <w:spacing w:after="0" w:line="117" w:lineRule="exact"/>
        <w:rPr>
          <w:rFonts w:ascii="Arial" w:cs="Arial" w:eastAsia="Arial" w:hAnsi="Arial"/>
          <w:sz w:val="18"/>
          <w:szCs w:val="18"/>
          <w:color w:val="auto"/>
        </w:rPr>
      </w:pPr>
    </w:p>
    <w:p>
      <w:pPr>
        <w:ind w:left="440" w:firstLine="443"/>
        <w:spacing w:after="0" w:line="264" w:lineRule="auto"/>
        <w:tabs>
          <w:tab w:leader="none" w:pos="1133"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purchase price, denomination and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Sections 3.07, 3.09, 3.11, 9.05 or 11.03);</w:t>
      </w:r>
    </w:p>
    <w:p>
      <w:pPr>
        <w:spacing w:after="0" w:line="73" w:lineRule="exact"/>
        <w:rPr>
          <w:rFonts w:ascii="Arial" w:cs="Arial" w:eastAsia="Arial" w:hAnsi="Arial"/>
          <w:sz w:val="18"/>
          <w:szCs w:val="18"/>
          <w:color w:val="auto"/>
        </w:rPr>
      </w:pPr>
    </w:p>
    <w:p>
      <w:pPr>
        <w:ind w:left="1140" w:hanging="257"/>
        <w:spacing w:after="0"/>
        <w:tabs>
          <w:tab w:leader="none" w:pos="1140"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the date or dates on which the principal of and premium, if any, on the Securities of the series is payable or the method of determination</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thereof;</w:t>
      </w:r>
    </w:p>
    <w:p>
      <w:pPr>
        <w:spacing w:after="0" w:line="102" w:lineRule="exact"/>
        <w:rPr>
          <w:rFonts w:ascii="Arial" w:cs="Arial" w:eastAsia="Arial" w:hAnsi="Arial"/>
          <w:sz w:val="17"/>
          <w:szCs w:val="17"/>
          <w:color w:val="auto"/>
        </w:rPr>
      </w:pPr>
    </w:p>
    <w:p>
      <w:pPr>
        <w:ind w:left="440" w:right="40" w:firstLine="443"/>
        <w:spacing w:after="0" w:line="286" w:lineRule="auto"/>
        <w:tabs>
          <w:tab w:leader="none" w:pos="1133"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the rate or rates at which the Securities of the series shall bear interest, if any, or the method of calculating such rate or rates of interest, the date or dates from which such interest shall accrue or the method by which such date or dates shall be determined, the Interest Payment Dates on which any such interest shall be payable and the Regular Record Date, if any, for the interest payable on any Interest Payment Date;</w:t>
      </w:r>
    </w:p>
    <w:p>
      <w:pPr>
        <w:spacing w:after="0" w:line="57" w:lineRule="exact"/>
        <w:rPr>
          <w:rFonts w:ascii="Arial" w:cs="Arial" w:eastAsia="Arial" w:hAnsi="Arial"/>
          <w:sz w:val="17"/>
          <w:szCs w:val="17"/>
          <w:color w:val="auto"/>
        </w:rPr>
      </w:pPr>
    </w:p>
    <w:p>
      <w:pPr>
        <w:ind w:left="1140" w:hanging="257"/>
        <w:spacing w:after="0"/>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place or places where the principal of (and premium, if any) and interest, if any, on Securities of the series shall be payable;</w:t>
      </w:r>
    </w:p>
    <w:p>
      <w:pPr>
        <w:spacing w:after="0" w:line="117" w:lineRule="exact"/>
        <w:rPr>
          <w:rFonts w:ascii="Arial" w:cs="Arial" w:eastAsia="Arial" w:hAnsi="Arial"/>
          <w:sz w:val="18"/>
          <w:szCs w:val="18"/>
          <w:color w:val="auto"/>
        </w:rPr>
      </w:pPr>
    </w:p>
    <w:p>
      <w:pPr>
        <w:ind w:left="1140" w:hanging="257"/>
        <w:spacing w:after="0"/>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place or places where the Securities may be exchanged or transferred;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74" w:right="239" w:bottom="1440" w:gutter="0" w:footer="0" w:header="0"/>
        </w:sectPr>
      </w:pPr>
    </w:p>
    <w:bookmarkStart w:id="51" w:name="page52"/>
    <w:bookmarkEnd w:id="51"/>
    <w:p>
      <w:pPr>
        <w:jc w:val="both"/>
        <w:ind w:firstLine="443"/>
        <w:spacing w:after="0" w:line="259" w:lineRule="auto"/>
        <w:tabs>
          <w:tab w:leader="none" w:pos="693"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period or periods within which, the price or prices at which, the currency or currencies (including currency unit or units) in which, and the other terms and conditions upon which Securities of the series may be redeemed, in whole or in part, at the option of the Company, if the Company is to have that option, and, if other than as provided in Section 11.02, the manner in which the particular Securities of such series (if less than all Securities of such series are to be redeemed) are to be selected for redemption;</w:t>
      </w:r>
    </w:p>
    <w:p>
      <w:pPr>
        <w:spacing w:after="0" w:line="78" w:lineRule="exact"/>
        <w:rPr>
          <w:rFonts w:ascii="Arial" w:cs="Arial" w:eastAsia="Arial" w:hAnsi="Arial"/>
          <w:sz w:val="18"/>
          <w:szCs w:val="18"/>
          <w:color w:val="auto"/>
        </w:rPr>
      </w:pPr>
    </w:p>
    <w:p>
      <w:pPr>
        <w:ind w:right="20" w:firstLine="443"/>
        <w:spacing w:after="0" w:line="259" w:lineRule="auto"/>
        <w:tabs>
          <w:tab w:leader="none" w:pos="6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Securities of the series in whole or in part pursuant to any sinking fund or analogous provisions or upon the happening of a specified event or at the option of a Holder thereof and the period or periods within which, the price or prices at which, and the other terms and conditions upon which Securities of the series shall be redeemed or purchased, in whole or in part, pursuant to such obligation;</w:t>
      </w:r>
    </w:p>
    <w:p>
      <w:pPr>
        <w:spacing w:after="0" w:line="78" w:lineRule="exact"/>
        <w:rPr>
          <w:rFonts w:ascii="Arial" w:cs="Arial" w:eastAsia="Arial" w:hAnsi="Arial"/>
          <w:sz w:val="18"/>
          <w:szCs w:val="18"/>
          <w:color w:val="auto"/>
        </w:rPr>
      </w:pPr>
    </w:p>
    <w:p>
      <w:pPr>
        <w:ind w:left="780" w:hanging="337"/>
        <w:spacing w:after="0"/>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other than denominations of $2,000 and multiples of $1,000 in excess thereof, the denominations in which Securities of the series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issuable;</w:t>
      </w:r>
    </w:p>
    <w:p>
      <w:pPr>
        <w:spacing w:after="0" w:line="102" w:lineRule="exact"/>
        <w:rPr>
          <w:rFonts w:ascii="Arial" w:cs="Arial" w:eastAsia="Arial" w:hAnsi="Arial"/>
          <w:sz w:val="16"/>
          <w:szCs w:val="16"/>
          <w:color w:val="auto"/>
        </w:rPr>
      </w:pPr>
    </w:p>
    <w:p>
      <w:pPr>
        <w:ind w:right="220" w:firstLine="443"/>
        <w:spacing w:after="0" w:line="264" w:lineRule="auto"/>
        <w:tabs>
          <w:tab w:leader="none" w:pos="776"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other than Dollars, the currency or currencies (including currency unit or units) in which payments of principal of (and premium, if any) and interest, if any, on the Securities of the series shall or may by payable, or in which the Securities of the series shall be denominated, and the particular provisions applicable thereto;</w:t>
      </w:r>
    </w:p>
    <w:p>
      <w:pPr>
        <w:spacing w:after="0" w:line="73" w:lineRule="exact"/>
        <w:rPr>
          <w:rFonts w:ascii="Arial" w:cs="Arial" w:eastAsia="Arial" w:hAnsi="Arial"/>
          <w:sz w:val="18"/>
          <w:szCs w:val="18"/>
          <w:color w:val="auto"/>
        </w:rPr>
      </w:pPr>
    </w:p>
    <w:p>
      <w:pPr>
        <w:ind w:right="40" w:firstLine="443"/>
        <w:spacing w:after="0" w:line="257" w:lineRule="auto"/>
        <w:tabs>
          <w:tab w:leader="none" w:pos="783"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payments of principal of (and premium, if any) and interest, if any, on the Securities of the series are to be made, at the election of the Company or a Holder, in a currency or currencies (including currency unit or units) other than that in which such Securities are denominated or designated to be payable, the currency or currencies (including currency unit or units) in which such payments are to be made, the terms and conditions of such payments and the manner in which the exchange rate with respect to such payments shall be determined, and the particular provisions applicable thereto;</w:t>
      </w:r>
    </w:p>
    <w:p>
      <w:pPr>
        <w:spacing w:after="0" w:line="80" w:lineRule="exact"/>
        <w:rPr>
          <w:rFonts w:ascii="Arial" w:cs="Arial" w:eastAsia="Arial" w:hAnsi="Arial"/>
          <w:sz w:val="18"/>
          <w:szCs w:val="18"/>
          <w:color w:val="auto"/>
        </w:rPr>
      </w:pPr>
    </w:p>
    <w:p>
      <w:pPr>
        <w:ind w:firstLine="443"/>
        <w:spacing w:after="0" w:line="259" w:lineRule="auto"/>
        <w:tabs>
          <w:tab w:leader="none" w:pos="783"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amount of payments of principal of (and premium, if any) and interest, if any, on the Securities of the series shall be determined with reference to any commodities, currencies or indices, values, rates or prices or any other index, formula or method (which index, formula or method may be based, without limitation, on a currency or currencies (including currency unit or units) other than that in which the Securities of the series are denominated or designated to be payable), the manner in which such amounts shall be determined;</w:t>
      </w:r>
    </w:p>
    <w:p>
      <w:pPr>
        <w:spacing w:after="0" w:line="78" w:lineRule="exact"/>
        <w:rPr>
          <w:rFonts w:ascii="Arial" w:cs="Arial" w:eastAsia="Arial" w:hAnsi="Arial"/>
          <w:sz w:val="18"/>
          <w:szCs w:val="18"/>
          <w:color w:val="auto"/>
        </w:rPr>
      </w:pPr>
    </w:p>
    <w:p>
      <w:pPr>
        <w:ind w:right="640" w:firstLine="443"/>
        <w:spacing w:after="0" w:line="342" w:lineRule="auto"/>
        <w:tabs>
          <w:tab w:leader="none" w:pos="783"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other than the principal amount thereof, the portion of the principal amount of Securities of the series which shall be payable upon declaration of acceleration of the Maturity thereof pursuant to Section 5.02 or the method by which such portion shall be determined;</w:t>
      </w:r>
    </w:p>
    <w:p>
      <w:pPr>
        <w:spacing w:after="0" w:line="15" w:lineRule="exact"/>
        <w:rPr>
          <w:rFonts w:ascii="Arial" w:cs="Arial" w:eastAsia="Arial" w:hAnsi="Arial"/>
          <w:sz w:val="16"/>
          <w:szCs w:val="16"/>
          <w:color w:val="auto"/>
        </w:rPr>
      </w:pPr>
    </w:p>
    <w:p>
      <w:pPr>
        <w:ind w:right="120" w:firstLine="443"/>
        <w:spacing w:after="0" w:line="264" w:lineRule="auto"/>
        <w:tabs>
          <w:tab w:leader="none" w:pos="783"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modifications of or additions to the Events of Default set forth in Section 5.01 or the covenants of the Company set forth in Article 4 or Article 10 with respect to Securities of the series; and whether such additional or modified Events of Default or covenants are subject to covenant defeasance pursuant to Section 12.03;</w:t>
      </w:r>
    </w:p>
    <w:p>
      <w:pPr>
        <w:spacing w:after="0" w:line="73" w:lineRule="exact"/>
        <w:rPr>
          <w:rFonts w:ascii="Arial" w:cs="Arial" w:eastAsia="Arial" w:hAnsi="Arial"/>
          <w:sz w:val="18"/>
          <w:szCs w:val="18"/>
          <w:color w:val="auto"/>
        </w:rPr>
      </w:pPr>
    </w:p>
    <w:p>
      <w:pPr>
        <w:ind w:right="40" w:firstLine="443"/>
        <w:spacing w:after="0" w:line="255" w:lineRule="auto"/>
        <w:tabs>
          <w:tab w:leader="none" w:pos="783"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either or both of Section 12.02 and Section 12.03 shall be inapplicable to the Securities of the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no such inapplicability shall be specified and the Securities of such series are not convertible into or their value is not determined with reference to the Company’s equity securities, then both Section 12.02 and Section 12.03 shall be applicable to the Securities of such series;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no such inapplicability shall be specified and the Securities of such series are convertible into or their value is determined with reference to the Company’s equity securities, then neither Section 12.02 nor Section 12.03 shall be applicable to the Securities of such series) and any other terms upon which the Securities of such series will be defeasible;</w:t>
      </w:r>
    </w:p>
    <w:p>
      <w:pPr>
        <w:spacing w:after="0" w:line="85" w:lineRule="exact"/>
        <w:rPr>
          <w:rFonts w:ascii="Arial" w:cs="Arial" w:eastAsia="Arial" w:hAnsi="Arial"/>
          <w:sz w:val="18"/>
          <w:szCs w:val="18"/>
          <w:color w:val="auto"/>
        </w:rPr>
      </w:pPr>
    </w:p>
    <w:p>
      <w:pPr>
        <w:ind w:left="780" w:hanging="337"/>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other than the Trustee, the identity of the Registrar and any Paying Agent;</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52" w:name="page53"/>
    <w:bookmarkEnd w:id="52"/>
    <w:p>
      <w:pPr>
        <w:jc w:val="both"/>
        <w:ind w:left="460" w:right="20" w:firstLine="443"/>
        <w:spacing w:after="0" w:line="302" w:lineRule="auto"/>
        <w:tabs>
          <w:tab w:leader="none" w:pos="1243"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Securities of the series shall be issued in whole or in part in global form, (i) the Depositary for such global Securities, (ii) the form of any legend in addition to or in lieu of that in Section 3.06 which shall be borne by such global Security, (iii) whether beneficial owners of interests in any Securities of the series in global form may exchange such interests for certificated Securities of such series and of like tenor of any authorized form and denomination, and (iv) if other than as provided in Section 3.08, the circumstances under which any such exchange may occur;</w:t>
      </w:r>
    </w:p>
    <w:p>
      <w:pPr>
        <w:spacing w:after="0" w:line="46" w:lineRule="exact"/>
        <w:rPr>
          <w:rFonts w:ascii="Arial" w:cs="Arial" w:eastAsia="Arial" w:hAnsi="Arial"/>
          <w:sz w:val="16"/>
          <w:szCs w:val="16"/>
          <w:color w:val="auto"/>
        </w:rPr>
      </w:pPr>
    </w:p>
    <w:p>
      <w:pPr>
        <w:ind w:left="460" w:right="540" w:firstLine="443"/>
        <w:spacing w:after="0" w:line="277" w:lineRule="auto"/>
        <w:tabs>
          <w:tab w:leader="none" w:pos="1243"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and the terms and conditions upon which, the Securities of such series may or must be converted into securities of the Company or exchanged for securities of the Company or another enterprise; and</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other terms of the series or any Guarantees endorsed thereon (which terms shall not adversely affect a prior series of Securities).</w:t>
      </w:r>
    </w:p>
    <w:p>
      <w:pPr>
        <w:spacing w:after="0" w:line="23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All Securities of any one series shall be substantially identical except as to denomination and except as may otherwise be provided (i) by a Board Resolution of the Company, (ii) by action taken pursuant to a Board Resolution of the Company and (subject to Sections 3.02-3.05) set forth, or determined in the manner provided, in an Officers’ Certificate or (iii)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54"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If any of the terms of the Securities of any series, and any Guarantees endorsed thereon, are established by action taken pursuant to a Board Resolution of the Company and the Guarantors, if any, a copy of an appropriate record of such action shall be certified by the Secretary or an Assistant Secretary of the Company and the Guarantors, if any, and delivered to the Trustee at or prior to the delivery of the Officers’ Certificate setting forth, or providing the manner for determining, the terms of the Securities of such series, and an appropriate record of any action taken pursuant thereto in connection with the issuance of any Securities of such series shall be delivered to the Trustee prior to the authentication and delivery thereof.</w:t>
      </w:r>
    </w:p>
    <w:p>
      <w:pPr>
        <w:spacing w:after="0" w:line="15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Authentication and Delivery of Securities</w:t>
      </w:r>
      <w:r>
        <w:rPr>
          <w:rFonts w:ascii="Arial" w:cs="Arial" w:eastAsia="Arial" w:hAnsi="Arial"/>
          <w:sz w:val="16"/>
          <w:szCs w:val="16"/>
          <w:color w:val="auto"/>
        </w:rPr>
        <w:t>. Upon the execution and delivery of this Indenture, or from time to time thereafter, Securities of any series and any Guarantees endorsed thereon may be executed by the Company and the Guarantors, if any, and delivered by the Company to the Trustee for authentication, together with a Company Order, and upon delivery to the Trustee of all documents and certificates as required by this Indenture, the Trustee shall thereupon, in accordance with such Company Order, authenticate and make available for delivery said Securities.</w:t>
      </w:r>
    </w:p>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Execution of Securities</w:t>
      </w:r>
      <w:r>
        <w:rPr>
          <w:rFonts w:ascii="Arial" w:cs="Arial" w:eastAsia="Arial" w:hAnsi="Arial"/>
          <w:sz w:val="16"/>
          <w:szCs w:val="16"/>
          <w:color w:val="auto"/>
        </w:rPr>
        <w:t>. The Securities of each series shall be executed on behalf of the Company, and each of the Guarantees, if any, shall be executed on behalf of the applicable Guarantor, by the Chairman of the Board of Directors, the President, the Chief Executive Officer, the Chief Financial Officer, the Treasurer, the Controller, the Secretary or any Assistant Secretary of the Company or of such Guarantor, as the case may be. The signatures of any of such officers on the Securities or the Guarantees may be the manual or facsimile signatures of the present or any future such officers. In case any officer of the Company or of each Guarantor, if any, who shall have signed any of the Securities and Guarantees, if any, shall cease to be such officer before the Security so signed or to which the Guarantee relates shall be authenticated and delivered by the Trustee or disposed of by the Company, such Security nevertheless may be authenticated and delivered or disposed of as though the person who signed such Security or Guarantee had not ceased to be such officer of the Company or of such Guarantor, as the case may be; and any Security or Guarantee may be signed on behalf of the Company or of a Guarantor, if any, by such persons as shall be the proper officers of the Company or of such Guarantor, as the case may be, at the actual date of the execution of such Security or Guarantee even though any such person was not such officer at the date of the execution and delivery of this Indenture.</w:t>
      </w:r>
    </w:p>
    <w:p>
      <w:pPr>
        <w:spacing w:after="0" w:line="16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Certificate of Authentication</w:t>
      </w:r>
      <w:r>
        <w:rPr>
          <w:rFonts w:ascii="Arial" w:cs="Arial" w:eastAsia="Arial" w:hAnsi="Arial"/>
          <w:sz w:val="18"/>
          <w:szCs w:val="18"/>
          <w:color w:val="auto"/>
        </w:rPr>
        <w:t>. Only such Securities or Guarantees endorsed thereon, if any, as shall bear thereon a certificate of authentication substantially in the form hereinabove recited, executed by the Trustee by manual signature of one of its authorized signatories, shall be entitled to the benefits of this Indenture or be valid or obligatory for any purpose. Such certificate by the Trustee upon any Security executed by the Company shall be conclusive evidence that the Security so authenticated has been duly authenticated and delivered hereunder and that the Holder is entitled to the benefits of this Indenture.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3.05. </w:t>
      </w:r>
      <w:r>
        <w:rPr>
          <w:rFonts w:ascii="Arial" w:cs="Arial" w:eastAsia="Arial" w:hAnsi="Arial"/>
          <w:sz w:val="18"/>
          <w:szCs w:val="18"/>
          <w:u w:val="single" w:color="auto"/>
          <w:color w:val="auto"/>
        </w:rPr>
        <w:t>Denomination, Currency and Date of Securities; Payments of Interest</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57" w:lineRule="auto"/>
        <w:tabs>
          <w:tab w:leader="none" w:pos="70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Securities shall be issuable in such denominations and currency as shall be specified as contemplated by Section 3.01. In the absence of any specification pursuant to Section 3.01 with respect to Securities of any series, the Securities of such series shall be denominated in Dollars, issuable only as Securities in denominations of $2,000 and multiples of $1,000 in excess thereof and payable only in Dollars. The Securities shall be numbered, lettered, or otherwise distinguished in such manner or in accordance with such plans as the officers of the Company executing the same may determine with the approval of the Trustee.</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Any of the Securities and Guarantees, if any, may be issued with appropriate insertions, omissions, substitutions and variations, and may have imprinted or otherwise reproduced thereon such legend or legends, not inconsistent with the provisions of this Indenture, as may be required to comply with any law or with any rules or regulations pursuant thereto, including those required by Section 3.06, or with the rules of any securities market in which the Securities are admitted to trading, or to conform to general usage.</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Each Security shall be dated the date of its authentication, shall bear interest from the applicable date and shall be payable on the dates specified on the face of the form of Security above. Except as otherwise specified as contemplated by Section 3.01 for Securities of any series, interest on the Securities of each series shall be computed on the basis of a 360-day year of twelve 30-day months.</w:t>
      </w:r>
    </w:p>
    <w:p>
      <w:pPr>
        <w:spacing w:after="0" w:line="181" w:lineRule="exact"/>
        <w:rPr>
          <w:sz w:val="20"/>
          <w:szCs w:val="20"/>
          <w:color w:val="auto"/>
        </w:rPr>
      </w:pPr>
    </w:p>
    <w:p>
      <w:pPr>
        <w:ind w:firstLine="464"/>
        <w:spacing w:after="0" w:line="293" w:lineRule="auto"/>
        <w:tabs>
          <w:tab w:leader="none" w:pos="711"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Global Securities</w:t>
      </w:r>
      <w:r>
        <w:rPr>
          <w:rFonts w:ascii="Arial" w:cs="Arial" w:eastAsia="Arial" w:hAnsi="Arial"/>
          <w:sz w:val="16"/>
          <w:szCs w:val="16"/>
          <w:color w:val="auto"/>
        </w:rPr>
        <w:t>. If Securities of or within a series are issuable in whole or in part in global form, then any such Security of such series shall be deposited with the Trustee as custodian for the Depositary and registered in the name of Cede &amp; Co., as nominee for the Depositary. The Global Security shall be deposited on behalf of the purchasers of the Securities represented thereby with the Trustee, as custodian for the Depositary (or with such other custodian as the Depositary may direct), and registered in the name of the Depositary or a nominee of the Depositary, duly executed by the Company and each Guarantor, if any, and authenticated by the Trustee as hereinafter provided. The aggregate principal amount of the Global Securities may from time to time be increased or decreased by adjustments made on the records of the Trustee and the Depositary or its nominee as hereinafter provided.</w:t>
      </w:r>
    </w:p>
    <w:p>
      <w:pPr>
        <w:spacing w:after="0" w:line="164" w:lineRule="exact"/>
        <w:rPr>
          <w:rFonts w:ascii="Arial" w:cs="Arial" w:eastAsia="Arial" w:hAnsi="Arial"/>
          <w:sz w:val="16"/>
          <w:szCs w:val="16"/>
          <w:color w:val="auto"/>
        </w:rPr>
      </w:pPr>
    </w:p>
    <w:p>
      <w:pPr>
        <w:ind w:right="20" w:firstLine="464"/>
        <w:spacing w:after="0" w:line="291" w:lineRule="auto"/>
        <w:tabs>
          <w:tab w:leader="none" w:pos="701"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person in whose name any Security is registered at the close of business on any Regular Record Date with respect to any Interest Payment Date shall be entitled to receive the interest, if any, payable on such Interest Payment Date notwithstanding any transfer or exchange of such Security subsequent to the Regular Record Date and prior to such Interest Payment Date, except if and to the extent the Company or a Guarantor, if any, shall default in the payment of the interest due on such Interest Payment Date, in which case such defaulted interest, plus (to the extent lawful) any interest payable on the defaulted interest, shall be paid to the persons in whose names outstanding Securities are registered at the close of business on a subsequent record date (which shall be not less than five Business Days prior to the date of such payment) established by notice given by mail by or on behalf of the Company or such Guarantor to the Holders of Securities not less than 15 calendar days preceding such subsequent record date.</w:t>
      </w:r>
    </w:p>
    <w:p>
      <w:pPr>
        <w:spacing w:after="0" w:line="16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Global Security Legend</w:t>
      </w:r>
      <w:r>
        <w:rPr>
          <w:rFonts w:ascii="Arial" w:cs="Arial" w:eastAsia="Arial" w:hAnsi="Arial"/>
          <w:sz w:val="18"/>
          <w:szCs w:val="18"/>
          <w:color w:val="auto"/>
        </w:rPr>
        <w:t>. Any Security in global form authenticated and delivered hereunder shall bear a legend in substantially the following form, or in such other form as may be necessary or appropriate to reflect the arrangements with or to comply with the requirements of any Depositary:</w:t>
      </w:r>
    </w:p>
    <w:p>
      <w:pPr>
        <w:spacing w:after="0" w:line="73" w:lineRule="exact"/>
        <w:rPr>
          <w:sz w:val="20"/>
          <w:szCs w:val="20"/>
          <w:color w:val="auto"/>
        </w:rPr>
      </w:pPr>
    </w:p>
    <w:p>
      <w:pPr>
        <w:ind w:left="460" w:right="640"/>
        <w:spacing w:after="0" w:line="286" w:lineRule="auto"/>
        <w:rPr>
          <w:sz w:val="20"/>
          <w:szCs w:val="20"/>
          <w:color w:val="auto"/>
        </w:rPr>
      </w:pPr>
      <w:r>
        <w:rPr>
          <w:rFonts w:ascii="Arial" w:cs="Arial" w:eastAsia="Arial" w:hAnsi="Arial"/>
          <w:sz w:val="17"/>
          <w:szCs w:val="17"/>
          <w:color w:val="auto"/>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54" w:name="page55"/>
    <w:bookmarkEnd w:id="54"/>
    <w:p>
      <w:pPr>
        <w:ind w:left="460"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THIS CERTIFICATE IS PRESENTED BY AN AUTHORIZED REPRESENTATIVE OF THE DEPOSITORY TRUST COMPANY, TO THE COMPANY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w:t>
      </w:r>
    </w:p>
    <w:p>
      <w:pPr>
        <w:spacing w:after="0" w:line="81"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TRANSFERS OF THIS GLOBAL SECURITY SHALL BE LIMITED TO TRANSFERS IN WHOLE, BUT NOT IN PART, TO NOMINEES OF THE DEPOSITORY TRUST COMPANY OR TO A SUCCESSOR THEREOF OR SUCH SUCCESSOR’S NOMINEE.</w:t>
      </w:r>
    </w:p>
    <w:p>
      <w:pPr>
        <w:spacing w:after="0" w:line="170"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Registration, Transfer and Exchange</w:t>
      </w:r>
      <w:r>
        <w:rPr>
          <w:rFonts w:ascii="Arial" w:cs="Arial" w:eastAsia="Arial" w:hAnsi="Arial"/>
          <w:sz w:val="16"/>
          <w:szCs w:val="16"/>
          <w:color w:val="auto"/>
        </w:rPr>
        <w:t>. The Securities are issuable only in registered form. The Company will keep at each office or agency (the “Registrar”) for each series of Securities a register or registers (the “Security Register(s)”) in which, subject to such reasonable regulations as it may prescribe, it will register, and will register the transfer of Securities as provided in this Article. Such Security Register or Security Registers shall be in written form in the English language or in any other form capable of being converted into such form within a reasonable time. At all reasonable times such Security Register or Security Registers shall be open for inspection by the Trustee. The initial Registrar shall be the Trustee.</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due presentation for registration of transfer of any Security of any series at each such office or agency, the Company shall execute a new Security or Securities of the same series, in each case, of any authorized denominations and of a like aggregate Principal Amount in the name of the designated transferee or transferees, the applicable Guarantors, if any, shall execute the Guarantees endorsed thereon and, upon receipt of a Company Order, the Trustee shall authenticate and make available for delivery such Securities.</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At the option of the Holder, Securities of any series (except a Security in global form) may be exchanged for other Securities of the same series, of any authorized denominations and of a like aggregate Principal Amount and Stated Maturity, upon surrender of the Securities to be exchanged at such office or agency. Whenever any Securities are so surrendered for exchange, the Company shall execute the Securities which the Holder making the exchange is entitled to receive, the applicable Guarantors, if any, shall execute the Guarantees endorsed thereon and, upon receipt of a Company Order, the Trustee shall authenticate and make available for delivery such Securities.</w:t>
      </w:r>
    </w:p>
    <w:p>
      <w:pPr>
        <w:spacing w:after="0" w:line="188"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 Holder may transfer a Security only by written application to the Registrar stating the name of the proposed transferee and otherwise complying with the terms of this Indenture. No such transfer shall be effected until, and such transferee shall succeed to the rights of a Holder only upon, final acceptance and registration of the transfer by the Registrar in the Security Register. Prior to the registration of any transfer by a Holder as provided herein, the Company, the Guarantors, if any, and the Trustee or any of their respective agents shall treat the person in whose name the Security is registered as the owner thereof for all purposes whether or not the Security shall be overdue, and neither the Company, the Guarantors, if any, the Trustee, nor any such agent shall be affected by notice to the contrary. Furthermore, any Holder of a Global Security shall, by acceptance of such Global Security, agree that transfers of beneficial interests in such Global Security may be effected only through a book entry system maintained by the Depository (or its nominee) and that ownership of a beneficial interest in the Security shall be required to be reflected in a book entry. When Securities are presented to the Registrar or a co-Registrar with a request to register the transfer or to exchange them for an equal Principal Amount of Securities of other authorized denominations, the Registrar shall register the transfer or make the exchange as requested if the requirements for such transactions set forth herein are met. To permit registrations of transfers and exchanges, the Company shall execute the Securities, the applicable Guarantors, if any, shall execute the Guarantees endorsed thereon and the Trustee shall authenticate Securities at the Registrar’s request.</w:t>
      </w:r>
    </w:p>
    <w:p>
      <w:pPr>
        <w:spacing w:after="0" w:line="18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Company may require payment of a sum sufficient to cover any tax or other governmental charge that may be imposed in connection with any exchange or registration of transfer of Securities (other than any such transfer taxes or other similar governmental charge payable upon exchanges pursuant to Section 3.11, 9.05 or 11.03). No service charge to any Holder shall be made for any such transaction.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55" w:name="page56"/>
    <w:bookmarkEnd w:id="55"/>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not be required to exchange or register a transfer of (a) any Securities of any series for a period of 15 calendar days next preceding the first mailing of notice of redemption of Securities of that series to be redeemed, or (b) any Securities of any series selected, called or being called for redemption except, in the case of any Security of any series where public notice has been given that such Security is to be redeemed in part, the portion thereof not so to be redeemed.</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All Securities issued upon any transfer or exchange of Securities shall be valid obligations of the Company, evidencing the same debt, and entitled to the same benefits under this Indenture, as the Securities surrendered upon such transfer or exchange.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Book-Entry Provisions for Global Securities</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Each Global Security initially shall (i) be registered in the name of the Depositary for such Global Securities or the nominee of such Depositary,</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be delivered to the Trustee as custodian for such Depositary and (iii) bear legends as set forth in Section 3.06.</w:t>
      </w:r>
    </w:p>
    <w:p>
      <w:pPr>
        <w:spacing w:after="0" w:line="2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Members of, or participants in, the Depositary (“Agent Members”) shall have no rights under this Indenture with respect to any Global Security held on their behalf by the Depositary, or the Trustee as its custodian, or under the Global Security, and the Depositary may be treated by the Company, each Guarantor, if any, the Trustee and any of their respective agents as the absolute owner of such Global Security for all purposes whatsoever. Notwithstanding the foregoing, nothing herein shall prevent the Company, each such Guarantor, the Trustee or any of such agents from giving effect to any written certification, proxy or other authorization furnished by the Depositary or impair, as between the Depositary and its Agent Members, the operation of customary practices governing the exercise of the rights of a holder of any Security.</w:t>
      </w:r>
    </w:p>
    <w:p>
      <w:pPr>
        <w:spacing w:after="0" w:line="193" w:lineRule="exact"/>
        <w:rPr>
          <w:sz w:val="20"/>
          <w:szCs w:val="20"/>
          <w:color w:val="auto"/>
        </w:rPr>
      </w:pPr>
    </w:p>
    <w:p>
      <w:pPr>
        <w:ind w:right="20" w:firstLine="464"/>
        <w:spacing w:after="0" w:line="272" w:lineRule="auto"/>
        <w:tabs>
          <w:tab w:leader="none" w:pos="711" w:val="left"/>
        </w:tabs>
        <w:numPr>
          <w:ilvl w:val="0"/>
          <w:numId w:val="57"/>
        </w:numPr>
        <w:rPr>
          <w:rFonts w:ascii="Arial" w:cs="Arial" w:eastAsia="Arial" w:hAnsi="Arial"/>
          <w:sz w:val="17"/>
          <w:szCs w:val="17"/>
          <w:color w:val="auto"/>
        </w:rPr>
      </w:pPr>
      <w:r>
        <w:rPr>
          <w:rFonts w:ascii="Arial" w:cs="Arial" w:eastAsia="Arial" w:hAnsi="Arial"/>
          <w:sz w:val="17"/>
          <w:szCs w:val="17"/>
          <w:color w:val="auto"/>
        </w:rPr>
        <w:t>Transfers of a Global Security shall be limited to transfers of such Global Security in whole, but not in part, to the Depositary for such series, its successors or their respective nominees. The Company may at any time and in its sole discretion determine that the Securities of a series issued in the form of one or more Global Securities shall no longer be represented by such Global Securities. In such event, the Company will execute Securities of such series of like tenor and terms in definitive form in an aggregate Principal Amount equal to the Principal Amount of the Global Security or Securities of such series, the applicable Guarantors, if any, shall execute the Guarantees endorsed thereon and the Trustee, upon receipt of a Company Order, will authenticate and deliver such definitive Securities in exchange for such Global Security or Securities. Interests of beneficial owners in a Global Security may be transferred in accordance with the rules and procedures of the Depositary.</w:t>
      </w:r>
    </w:p>
    <w:p>
      <w:pPr>
        <w:spacing w:after="0" w:line="178"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In addition, Physical Securities shall be transferred to all beneficial owners identified by the Depositary in exchange for their beneficial interests in a Global Security, if (i) the Depositary (A) notifies the Company that it is unwilling or unable to continue as Depositary for such Global Security, and a successor depositary is not appointed by the Company within 90 calendar days of such notice, or (B) ceases to be qualified to serve as Depositary and a successor depositary is not appointed by the Company within 90 calendar days of such notice, (ii) the Company executes and delivers to the Trustee a Company Order that such Global Security shall be so transferable, registrable and exchangeable, and such transfers shall be registrable, or (iii) an Event of Default of which the Trustee has actual notice has occurred and is continuing and the Registrar has received a request from a beneficial owner to issue such Physical Securities, and if the Trustee is the Registrar, a Company Order or written confirmation from the Depositary identifying the beneficial owner.</w:t>
      </w:r>
    </w:p>
    <w:p>
      <w:pPr>
        <w:spacing w:after="0" w:line="167" w:lineRule="exact"/>
        <w:rPr>
          <w:sz w:val="20"/>
          <w:szCs w:val="20"/>
          <w:color w:val="auto"/>
        </w:rPr>
      </w:pPr>
    </w:p>
    <w:p>
      <w:pPr>
        <w:ind w:right="40" w:firstLine="464"/>
        <w:spacing w:after="0" w:line="259" w:lineRule="auto"/>
        <w:tabs>
          <w:tab w:leader="none" w:pos="701"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beneficial interest in one of the Global Securities that is transferred to a person who takes delivery in the form of an interest in the other Global Security will, upon transfer, cease to be an interest in such Global Security and become an interest in the other Global Security and, accordingly, will thereafter be subject to all transfer restrictions, if any, and other procedures applicable to beneficial interests in such other Global Security for as long as it remains such an interest.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56" w:name="page57"/>
    <w:bookmarkEnd w:id="56"/>
    <w:p>
      <w:pPr>
        <w:ind w:right="100" w:firstLine="464"/>
        <w:spacing w:after="0" w:line="259" w:lineRule="auto"/>
        <w:tabs>
          <w:tab w:leader="none" w:pos="711"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any transfer of a portion of the beneficial interests in a Global Security to beneficial owners pursuant to paragraph (b) of this Section 3.08, the Registrar shall reflect on its books and records the date and a decrease in the Principal Amount of such Global Security in an amount equal to the Principal Amount of the beneficial interest in such Global Security to be transferred, and the Company shall execute, and the Trustee shall authenticate and make available for delivery, one or more Physical Securities of like tenor and amount.</w:t>
      </w:r>
    </w:p>
    <w:p>
      <w:pPr>
        <w:spacing w:after="0" w:line="186" w:lineRule="exact"/>
        <w:rPr>
          <w:rFonts w:ascii="Arial" w:cs="Arial" w:eastAsia="Arial" w:hAnsi="Arial"/>
          <w:sz w:val="18"/>
          <w:szCs w:val="18"/>
          <w:color w:val="auto"/>
        </w:rPr>
      </w:pPr>
    </w:p>
    <w:p>
      <w:pPr>
        <w:ind w:right="20" w:firstLine="464"/>
        <w:spacing w:after="0" w:line="259" w:lineRule="auto"/>
        <w:tabs>
          <w:tab w:leader="none" w:pos="701"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connection with the transfer of an entire Global Security to beneficial owners pursuant to paragraph (b) of this Section, such Global Security shall be deemed to be surrendered to the Trustee for cancellation, and the Company shall execute, and upon receipt of a Company Order the Trustee shall authenticate and deliver, to each beneficial owner identified by the Depositary in exchange for its beneficial interest in such Global Security, an equal Principal Amount of Physical Securities of authorized denominations.</w:t>
      </w:r>
    </w:p>
    <w:p>
      <w:pPr>
        <w:spacing w:after="0" w:line="186" w:lineRule="exact"/>
        <w:rPr>
          <w:rFonts w:ascii="Arial" w:cs="Arial" w:eastAsia="Arial" w:hAnsi="Arial"/>
          <w:sz w:val="18"/>
          <w:szCs w:val="18"/>
          <w:color w:val="auto"/>
        </w:rPr>
      </w:pPr>
    </w:p>
    <w:p>
      <w:pPr>
        <w:ind w:right="200" w:firstLine="464"/>
        <w:spacing w:after="0" w:line="342" w:lineRule="auto"/>
        <w:tabs>
          <w:tab w:leader="none" w:pos="681"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registered holder of a Global Security may grant proxies and otherwise authorize any person, including Agent Members and persons that may hold interests through Agent Members, to take any action which a Holder is entitled to take under this Indenture or the Securities of such series.</w:t>
      </w:r>
    </w:p>
    <w:p>
      <w:pPr>
        <w:spacing w:after="0" w:line="12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Mutilated, Defaced, Destroyed, Lost and Stolen Securities</w:t>
      </w:r>
      <w:r>
        <w:rPr>
          <w:rFonts w:ascii="Arial" w:cs="Arial" w:eastAsia="Arial" w:hAnsi="Arial"/>
          <w:sz w:val="16"/>
          <w:szCs w:val="16"/>
          <w:color w:val="auto"/>
        </w:rPr>
        <w:t>. In case any temporary or definitive Security shall become mutilated, defaced or be apparently destroyed, lost or stolen, the Company in its discretion may execute a new Security of the same series bearing a number not contemporaneously outstanding, the applicable Guarantors, if any, shall execute the Guarantees endorsed thereon and, upon the written request of any officer of the Company and delivery to the Trustee of all documents and certificates as required by this Indenture, the Trustee shall authenticate and make available for delivery such Security, in exchange and substitution for the mutilated or defaced Security, or in lieu of and substitution for the Security so apparently destroyed, lost or stolen. In every case the applicant for a substitute Security shall furnish to the Company, each Guarantor, if any, the Trustee and any of their respective agents, such security or indemnity as may be required by each of them to indemnify and defend and to save each of them harmless and, in every case of destruction, loss or theft evidence to their satisfaction of the apparent destruction, loss or theft of such Security and of the ownership thereof.</w:t>
      </w:r>
    </w:p>
    <w:p>
      <w:pPr>
        <w:spacing w:after="0" w:line="16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Upon the issuance of any substitute Security, the Company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shall become mutilated or defaced or be apparently destroyed, lost or stolen, the Company may, instead of issuing a substitute Security of the same series, pay or authorize the payment of the same (without surrender thereof except in the case of a mutilated or defaced Security), if the applicant for such payment shall furnish to the Company, each Guarantor, if any, the Trustee and any of their respective agents such Security or indemnity as any of them may require to save each of them harmless from all risks, however remote, and, in every case of apparent destruction, loss or theft, the applicant shall also furnish to the Company, each such Guarantor, the Trustee and any of such agents evidence to their satisfaction of the apparent destruction, loss or theft of such Security and of the ownership thereof.</w:t>
      </w:r>
    </w:p>
    <w:p>
      <w:pPr>
        <w:spacing w:after="0" w:line="16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Every substitute Security and the Guarantee endorsed thereon, if any, issued pursuant to the provisions of this Section by virtue of the fact that any Security is apparently destroyed, lost or stolen shall constitute an additional contractual obligation of the Company and any Guarantor, as applicable, whether or not the apparently destroyed, lost or stolen Security shall be at any time enforceable by anyone and shall be entitled to all the benefits of (but shall be subject to all the limitations of rights set forth in) this Indenture equally and proportionately with any and all other Securities and the Guarantees endorsed thereon, if any, duly authenticated and delivered hereunder. All Securities shall be held and owned upon the express condition that, to the extent permitted by law, with respect to the holder of a substitute Security, the foregoing provisions are exclusive with respect to the replacement or payment of mutilated, defaced, or apparently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66"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Cancellation of Securities</w:t>
      </w:r>
      <w:r>
        <w:rPr>
          <w:rFonts w:ascii="Arial" w:cs="Arial" w:eastAsia="Arial" w:hAnsi="Arial"/>
          <w:sz w:val="17"/>
          <w:szCs w:val="17"/>
          <w:color w:val="auto"/>
        </w:rPr>
        <w:t>. All Securities surrendered for payment, redemption, registration of transfer or exchange, if surrendered to the Company, any Guarantor, the Trustee or any of their respective agents, shall be delivered to the Trustee for cancellation or, if surrendered to the Trustee, shall be cancelled by it; and no Securities shall be issued in lieu thereof except as expressly permitted by any of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57" w:name="page58"/>
    <w:bookmarkEnd w:id="57"/>
    <w:p>
      <w:pPr>
        <w:jc w:val="both"/>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of this Indenture. The Trustee shall dispose of cancelled Securities in accordance with its customary procedures. If the Company or any Guarantor shall acquire any of the Securities, such acquisition shall not operate as a redemption or satisfaction of the indebtedness represented by such Securities unless and until the same are delivered to the Trustee for cancellation.</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Temporary Securities</w:t>
      </w:r>
      <w:r>
        <w:rPr>
          <w:rFonts w:ascii="Arial" w:cs="Arial" w:eastAsia="Arial" w:hAnsi="Arial"/>
          <w:sz w:val="16"/>
          <w:szCs w:val="16"/>
          <w:color w:val="auto"/>
        </w:rPr>
        <w:t>. Pending the preparation of definitive Securities of any series, the Company may execute and the Trustee shall authenticate and make available for delivery temporary Securities of such series (printed, lithographed, typewritten or otherwise reproduced, in each case in form satisfactory to the Trustee). Temporary Securities shall be issuable as registered Securities of such series without coupons, of any authorized denomination, and substantially in the form of the definitive Securities of such series, and if the Securities are to be guaranteed, having endorsed thereon the Guarantees executed by each Guarantor, but in all cases with such appropriate omissions, insertions and variations as may be appropriate for temporary Securities, all as may be determined by the Company and the Guarantors, if any, with the concurrence of the Trustee. Temporary Securities may contain such reference to any provisions of this Indenture as may be appropriate. Every temporary Security shall be executed by the Company and endorsed by each Guarantor, if any, and be authenticated by the Trustee upon the same conditions and in substantially the same manner, and with like effect, as the definitive Securities of such series. Without unreasonable delay the Company shall execute and shall furnish definitive Securities of such series and thereupon temporary Securities of such series may be surrendered in exchange therefor without charge at each office or agency to be maintained by the Company for the purpose pursuant to Section 4.02, and upon delivery to the Trustee of all documents and certificates as required by this Indenture, the Trustee shall authenticate and make available for delivery in exchange for such temporary Securities a like aggregate principal amount of definitive Securities of such series of authorized denominations, and if the Securities are guaranteed, having endorsed thereon the Guarantees executed by each Guarantor. Until so exchanged the temporary Securities of such series shall be entitled to the same benefits under this Indenture as definitive Securities of such series.</w:t>
      </w:r>
    </w:p>
    <w:p>
      <w:pPr>
        <w:spacing w:after="0" w:line="17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CUSIP and ISIN Numbers</w:t>
      </w:r>
      <w:r>
        <w:rPr>
          <w:rFonts w:ascii="Arial" w:cs="Arial" w:eastAsia="Arial" w:hAnsi="Arial"/>
          <w:sz w:val="18"/>
          <w:szCs w:val="18"/>
          <w:color w:val="auto"/>
        </w:rPr>
        <w:t xml:space="preserve">. The Company in issuing the Securities of any series may use a “CUSIP” and “ISIN” number (if then generally in use), and, if so, the Trustee shall use the CUSIP numbers or ISIN numbers, as the case may be, in notices of redemption or exchange as a convenience to Holders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notice shall state that no representation is made as to the correctness of such numbers either as printed on the Securities or as contained in any notice of redemption or exchange and that reliance may be placed only on the other identification numbers printed on the Securities and any such redemption shall not be affected by any defect in or omission of such numbers. The Company shall promptly notify the Trustee of any change in the CUSIP numbers or ISIN numbers.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CERTAIN COVENANTS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Payment of Principal, Premium and Interest on Securities</w:t>
      </w:r>
      <w:r>
        <w:rPr>
          <w:rFonts w:ascii="Arial" w:cs="Arial" w:eastAsia="Arial" w:hAnsi="Arial"/>
          <w:sz w:val="18"/>
          <w:szCs w:val="18"/>
          <w:color w:val="auto"/>
        </w:rPr>
        <w:t>. The Company, for the benefit of each series of the Securities, will duly and punctually pay or cause to be paid the principal of and any premium and interest on the Securities of that series in accordance with the terms of such Securities and this Indenture.</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 The Company will maintain a Payment Office where Securities may be presented or surrendered for payment, where Securities may be surrendered for registration of transfer or exchange, and where notices and demands to or upon the Company in respect of the Securities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initially appoints the Trustee at its office or agency as its agent to receive all such presentations, surrenders, notices and demands.</w:t>
      </w:r>
    </w:p>
    <w:p>
      <w:pPr>
        <w:spacing w:after="0" w:line="16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designation or rescission shall in any manner relieve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58" w:name="page59"/>
    <w:bookmarkEnd w:id="58"/>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Money for Securities Payments to be Held in Trust</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59" w:lineRule="auto"/>
        <w:tabs>
          <w:tab w:leader="none" w:pos="701"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86" w:lineRule="exact"/>
        <w:rPr>
          <w:rFonts w:ascii="Arial" w:cs="Arial" w:eastAsia="Arial" w:hAnsi="Arial"/>
          <w:sz w:val="18"/>
          <w:szCs w:val="18"/>
          <w:color w:val="auto"/>
        </w:rPr>
      </w:pPr>
    </w:p>
    <w:p>
      <w:pPr>
        <w:ind w:right="60" w:firstLine="464"/>
        <w:spacing w:after="0" w:line="312" w:lineRule="auto"/>
        <w:tabs>
          <w:tab w:leader="none" w:pos="711" w:val="left"/>
        </w:tabs>
        <w:numPr>
          <w:ilvl w:val="0"/>
          <w:numId w:val="60"/>
        </w:numPr>
        <w:rPr>
          <w:rFonts w:ascii="Arial" w:cs="Arial" w:eastAsia="Arial" w:hAnsi="Arial"/>
          <w:sz w:val="16"/>
          <w:szCs w:val="16"/>
          <w:color w:val="auto"/>
        </w:rPr>
      </w:pPr>
      <w:r>
        <w:rPr>
          <w:rFonts w:ascii="Arial" w:cs="Arial" w:eastAsia="Arial" w:hAnsi="Arial"/>
          <w:sz w:val="16"/>
          <w:szCs w:val="16"/>
          <w:color w:val="auto"/>
        </w:rPr>
        <w:t>Whenever the Company shall have one or more Paying Agents for any series of Securities, it will,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46" w:lineRule="exact"/>
        <w:rPr>
          <w:rFonts w:ascii="Arial" w:cs="Arial" w:eastAsia="Arial" w:hAnsi="Arial"/>
          <w:sz w:val="16"/>
          <w:szCs w:val="16"/>
          <w:color w:val="auto"/>
        </w:rPr>
      </w:pPr>
    </w:p>
    <w:p>
      <w:pPr>
        <w:ind w:firstLine="464"/>
        <w:spacing w:after="0" w:line="290" w:lineRule="auto"/>
        <w:tabs>
          <w:tab w:leader="none" w:pos="701"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Company will cause each Paying Agent for any series of Securities (other than the Trustee) to execute and deliver to the Trustee an instrument in which such Paying Agent will agree with the Trustee, subject to the provisions of this Section 4.03, that such Paying Agent will (i) comply with the provisions of the Trust Indenture Act applicable to it as a Paying Agent; (ii) hold all sums held by it for the payment of the principal of (and premium, if any) or interest, if any, on the Securities of that series in trust for the benefit of the Holders until such sums shall be paid to such Holders or otherwise disposed of as herein provided; (iii) give the Trustee notice of any Default by the Company or any Guarantor (or any other obligor upon the Securities) in the making of any payment of principal (and premium, if any) or interest, if any, on the Securities of that series; and (iv) during the continuance of any Default by the Company (or any other obligor upon the Securities of that series) in the making of any payment in respect of the Securities of that series, and upon the written request of that Trustee, forthwith pay to the Trustee all sums held in trust by such Paying Agent for payment in respect of the Securities of that series.</w:t>
      </w:r>
    </w:p>
    <w:p>
      <w:pPr>
        <w:spacing w:after="0" w:line="166" w:lineRule="exact"/>
        <w:rPr>
          <w:rFonts w:ascii="Arial" w:cs="Arial" w:eastAsia="Arial" w:hAnsi="Arial"/>
          <w:sz w:val="16"/>
          <w:szCs w:val="16"/>
          <w:color w:val="auto"/>
        </w:rPr>
      </w:pPr>
    </w:p>
    <w:p>
      <w:pPr>
        <w:jc w:val="both"/>
        <w:ind w:right="60" w:firstLine="464"/>
        <w:spacing w:after="0" w:line="279" w:lineRule="auto"/>
        <w:tabs>
          <w:tab w:leader="none" w:pos="711"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will be released from all further liability with respect to such money.</w:t>
      </w:r>
    </w:p>
    <w:p>
      <w:pPr>
        <w:spacing w:after="0" w:line="171" w:lineRule="exact"/>
        <w:rPr>
          <w:rFonts w:ascii="Arial" w:cs="Arial" w:eastAsia="Arial" w:hAnsi="Arial"/>
          <w:sz w:val="17"/>
          <w:szCs w:val="17"/>
          <w:color w:val="auto"/>
        </w:rPr>
      </w:pPr>
    </w:p>
    <w:p>
      <w:pPr>
        <w:ind w:right="20" w:firstLine="464"/>
        <w:spacing w:after="0" w:line="297" w:lineRule="auto"/>
        <w:tabs>
          <w:tab w:leader="none" w:pos="701"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and was deposited with the Paying Agent will be paid to the Company upon a Company Request (or, if then held by the Company, will be discharged from such trust) subject to any applicable abandoned property law; and the Holder of such Security will thereafter, as an unsecured general creditor, look only to the Company for payment thereof, and all liability of the Trustee or such Paying Agent with respect to such trust money will thereupon cease.</w:t>
      </w:r>
    </w:p>
    <w:p>
      <w:pPr>
        <w:spacing w:after="0" w:line="158"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Existence</w:t>
      </w:r>
      <w:r>
        <w:rPr>
          <w:rFonts w:ascii="Arial" w:cs="Arial" w:eastAsia="Arial" w:hAnsi="Arial"/>
          <w:sz w:val="18"/>
          <w:szCs w:val="18"/>
          <w:color w:val="auto"/>
        </w:rPr>
        <w:t xml:space="preserve">. Subject to Article 10, the Company will do or cause to be done all things necessary to preserve and keep in full force and effect its existence and rights (charter and statutory);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will not be required to preserve any such right or franchise if the Board of Directors determines that the preservation thereof is no longer desirable in the conduct of the business of the Company and that the loss thereof will not be disadvantageous in any material respect to the Holders.</w:t>
      </w:r>
    </w:p>
    <w:p>
      <w:pPr>
        <w:spacing w:after="0" w:line="187"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Statement by Officers as to Default</w:t>
      </w:r>
      <w:r>
        <w:rPr>
          <w:rFonts w:ascii="Arial" w:cs="Arial" w:eastAsia="Arial" w:hAnsi="Arial"/>
          <w:sz w:val="17"/>
          <w:szCs w:val="17"/>
          <w:color w:val="auto"/>
        </w:rPr>
        <w:t>. The Company and, to the extent required by the TIA, each Guarantor, if any, will deliver to the Trustee, within 120 calendar days after the end of each fiscal year of the Company ending after the first date any series of Securities issued under this Indenture is outstanding, a certificate signed by the principal executive officer, principal financial officer or principal accounting officer of the Company or such Guarantor stating whether or not to the knowledge of such person after due inquiry the Company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59" w:name="page60"/>
    <w:bookmarkEnd w:id="59"/>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such Guarantor is in default in the performance and observance of any of the terms, provisions, and conditions of this Indenture (without regard to any period of grace or requirement of notice provided hereunder) and, if the Company or such Guarantor is in default, specifying all such defaults and the nature and status thereof of which such person may have such knowledge. The Company or such Guarantor shall deliver to the Trustee, as soon as possible and in any event within seven calendar days after any such aforementioned officer of the Company or such Guarantor becomes aware of the occurrence of any Event of Default or an event which, with notice or the lapse of time or both, would constitute an Event of Default, an Officers’ Certificate setting forth the details of such Event of Default or default and the action which the Company or such Guarantor proposes to take with respect thereto.</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Waiver of Certain Covenants</w:t>
      </w:r>
      <w:r>
        <w:rPr>
          <w:rFonts w:ascii="Arial" w:cs="Arial" w:eastAsia="Arial" w:hAnsi="Arial"/>
          <w:sz w:val="18"/>
          <w:szCs w:val="18"/>
          <w:color w:val="auto"/>
        </w:rPr>
        <w:t>. The Company and each Guarantor, if any, may omit in any particular instance to comply with any term, provision, or condition set forth in this Indenture or any applicable supplemental indenture, with respect to the Securities of any series, if the Holders of a majority in Principal Amount of all outstanding Securities of such series shall, by act of such Holders in accordance with Section 7.01, either waive such compliance in such instance or generally waive compliance with such term, provision, or condition in accordance with Article 9 and Section 5.07, but no such waiver will extend to or affect such term, provision or condition except to the extent so expressly waived, and, until such waiver shall become effective, the obligations of the Company and such Guarantor and the duties of the Trustee in respect of any such term, provision, or condition will remain in full force and effect.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REMEDIES OF THE TRUSTEE AND HOLDERS ON EVENT OF DEFAULT</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Each of the following events constitutes an “Event of Default” wherever used herein with respect to Securities of any series:</w:t>
      </w:r>
    </w:p>
    <w:p>
      <w:pPr>
        <w:spacing w:after="0" w:line="170" w:lineRule="exact"/>
        <w:rPr>
          <w:sz w:val="20"/>
          <w:szCs w:val="20"/>
          <w:color w:val="auto"/>
        </w:rPr>
      </w:pPr>
    </w:p>
    <w:p>
      <w:pPr>
        <w:ind w:left="700" w:hanging="23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default for 30 calendar days in the payment when due of interest on the Securities of that series;</w:t>
      </w:r>
    </w:p>
    <w:p>
      <w:pPr>
        <w:spacing w:after="0" w:line="225" w:lineRule="exact"/>
        <w:rPr>
          <w:rFonts w:ascii="Arial" w:cs="Arial" w:eastAsia="Arial" w:hAnsi="Arial"/>
          <w:sz w:val="18"/>
          <w:szCs w:val="18"/>
          <w:color w:val="auto"/>
        </w:rPr>
      </w:pPr>
    </w:p>
    <w:p>
      <w:pPr>
        <w:ind w:right="340" w:firstLine="464"/>
        <w:spacing w:after="0" w:line="277" w:lineRule="auto"/>
        <w:tabs>
          <w:tab w:leader="none" w:pos="711"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default in payment when due of the principal (whether at Stated Maturity, upon redemption (if applicable), upon any required repurchase by the Company (if applicable) or otherwise) of or premium, if any, on the Securities of that series;</w:t>
      </w:r>
    </w:p>
    <w:p>
      <w:pPr>
        <w:spacing w:after="0" w:line="170" w:lineRule="exact"/>
        <w:rPr>
          <w:rFonts w:ascii="Arial" w:cs="Arial" w:eastAsia="Arial" w:hAnsi="Arial"/>
          <w:sz w:val="18"/>
          <w:szCs w:val="18"/>
          <w:color w:val="auto"/>
        </w:rPr>
      </w:pPr>
    </w:p>
    <w:p>
      <w:pPr>
        <w:ind w:right="140" w:firstLine="464"/>
        <w:spacing w:after="0" w:line="272" w:lineRule="auto"/>
        <w:tabs>
          <w:tab w:leader="none" w:pos="701" w:val="left"/>
        </w:tabs>
        <w:numPr>
          <w:ilvl w:val="0"/>
          <w:numId w:val="61"/>
        </w:numPr>
        <w:rPr>
          <w:rFonts w:ascii="Arial" w:cs="Arial" w:eastAsia="Arial" w:hAnsi="Arial"/>
          <w:sz w:val="17"/>
          <w:szCs w:val="17"/>
          <w:color w:val="auto"/>
        </w:rPr>
      </w:pPr>
      <w:r>
        <w:rPr>
          <w:rFonts w:ascii="Arial" w:cs="Arial" w:eastAsia="Arial" w:hAnsi="Arial"/>
          <w:sz w:val="17"/>
          <w:szCs w:val="17"/>
          <w:color w:val="auto"/>
        </w:rPr>
        <w:t>default by the Company or any Guarantor of such series of Securities in the observance or performance of any other covenant or agreement contained in this Indenture or as specified pursuant to Section 3.01 (other than a default referred to in clauses (a) or (b) above, or an agreement, covenant or provision that has expressly been included in this Indenture solely for the benefit of one or more series of Securities other than that series) which default continues for a period of 60 calendar days after the Company or such Guarantor receives written notice specifying the default (and demanding that such default be remedied) from the Trustee or the Holders of at least 25% of the Principal Amount of Securities of that series then outstanding (with a copy to the Trustee if given by Holders) (except in the case of a default with respect to Section 10.01 of this Indenture, which will constitute an Event of Default with such notice requirement but without such passage of time requirement).</w:t>
      </w:r>
    </w:p>
    <w:p>
      <w:pPr>
        <w:spacing w:after="0" w:line="177" w:lineRule="exact"/>
        <w:rPr>
          <w:rFonts w:ascii="Arial" w:cs="Arial" w:eastAsia="Arial" w:hAnsi="Arial"/>
          <w:sz w:val="17"/>
          <w:szCs w:val="17"/>
          <w:color w:val="auto"/>
        </w:rPr>
      </w:pPr>
    </w:p>
    <w:p>
      <w:pPr>
        <w:ind w:right="140" w:firstLine="464"/>
        <w:spacing w:after="0" w:line="272" w:lineRule="auto"/>
        <w:tabs>
          <w:tab w:leader="none" w:pos="711"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entry by a court having jurisdiction in the premises of (i) a decree or order for relief in respect of the Company or a Guarantor of such series of Securities in an involuntary case or proceeding under any applicable federal or state bankruptcy, insolvency, reorganization, or other similar law or (ii) a decree or order adjudging the Company or such Guarantor bankrupt or insolvent, or approving as properly filed a petition seeking reorganization, arrangement, adjustment, or composition of or in respect of the Company or such Guarantor under any applicable federal or state law, or appointing a custodian, receiver, liquidator, assignee, trustee, sequestrator, or other similar official of the Company or such Guarantor or of any substantial part of its property, or ordering the winding up or liquidation of its affairs, and the continuance of any such decree or order for relief or any such other decree or order unstayed and in effect for a period of 60 consecutive calendar days;</w:t>
      </w:r>
    </w:p>
    <w:p>
      <w:pPr>
        <w:spacing w:after="0" w:line="177" w:lineRule="exact"/>
        <w:rPr>
          <w:rFonts w:ascii="Arial" w:cs="Arial" w:eastAsia="Arial" w:hAnsi="Arial"/>
          <w:sz w:val="17"/>
          <w:szCs w:val="17"/>
          <w:color w:val="auto"/>
        </w:rPr>
      </w:pPr>
    </w:p>
    <w:p>
      <w:pPr>
        <w:ind w:right="40" w:firstLine="464"/>
        <w:spacing w:after="0" w:line="312" w:lineRule="auto"/>
        <w:tabs>
          <w:tab w:leader="none" w:pos="701"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commencement by the Company or a Guarantor of such series of Securities of a voluntary case or proceeding under any applicable federal or state bankruptcy, insolvency, reorganization, or other similar law or of any other case or proceeding to be adjudicated bankrupt or insolvent, or the consent by it to the entry of a decree or order for relief in respect of the Company or such Guarantor in an involuntary case or proceeding under any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60" w:name="page61"/>
    <w:bookmarkEnd w:id="6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federal or state bankruptcy, insolvency, reorganization, or other similar law or to the commencement of any bankruptcy or insolvency case or proceeding against it, or the filing by it of a petition or answer or consent seeking reorganization or relief with respect to the Company or such Guarantor under any applicable federal or state bankruptcy, insolvency, reorganization, or other similar law, or the consent by it to the filing of such petition or to the appointment of or taking possession by a custodian, receiver, liquidator, assignee, trustee, sequestrator, or other similar official of the Company or such Guarantor or of any substantial part of its property pursuant to any such law, or the making by it of an assignment for the benefit of creditors, or the admission by it in writing of its inability to pay its debts generally as they become due, or the taking of corporate action by the Company or such Guarantor in furtherance of any such action;</w:t>
      </w:r>
    </w:p>
    <w:p>
      <w:pPr>
        <w:spacing w:after="0" w:line="189" w:lineRule="exact"/>
        <w:rPr>
          <w:sz w:val="20"/>
          <w:szCs w:val="20"/>
          <w:color w:val="auto"/>
        </w:rPr>
      </w:pPr>
    </w:p>
    <w:p>
      <w:pPr>
        <w:ind w:firstLine="464"/>
        <w:spacing w:after="0" w:line="277" w:lineRule="auto"/>
        <w:tabs>
          <w:tab w:leader="none" w:pos="681"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Guarantee relating to such series Securities shall cease to be in full force and effect (other than in accordance with the terms of this Indenture) or any Guarantor denies or disaffirms its obligations under its Guarantee; or</w:t>
      </w:r>
    </w:p>
    <w:p>
      <w:pPr>
        <w:spacing w:after="0" w:line="170"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Event of Default with respect to Securities of that series as specified pursuant to Section 3.01, which shall not have been remedied within the specified period after written notice, as specified in Section 5.01(c).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Acceleration</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72" w:lineRule="auto"/>
        <w:tabs>
          <w:tab w:leader="none" w:pos="701"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If any Event of Default (other than an Event of Default specified in clause (d) or (e) of Section 5.01) occurs and is continuing with respect to Securities of any series, the Trustee by written notice to the Company or the Holders of at least 25% in aggregate Principal Amount of the then outstanding Securities of that series by written notice to the Company and the Trustee, may declare the unpaid principal of, premium, if any, and any accrued and unpaid interest on all the Securities of the affected series to be due and payable immediately. Except as set forth above, upon such declaration the principal of, premium, if any, and interest shall be due and payable immediately. If an Event of Default specified in clause (d) or (e) of Section 5.01 occurs with respect to the Company or any Guarantor, the unpaid principal of, premium, if any, and any accrued and unpaid interest on all the Securities shall </w:t>
      </w:r>
      <w:r>
        <w:rPr>
          <w:rFonts w:ascii="Arial" w:cs="Arial" w:eastAsia="Arial" w:hAnsi="Arial"/>
          <w:sz w:val="17"/>
          <w:szCs w:val="17"/>
          <w:i w:val="1"/>
          <w:iCs w:val="1"/>
          <w:color w:val="auto"/>
        </w:rPr>
        <w:t>ipso facto</w:t>
      </w:r>
      <w:r>
        <w:rPr>
          <w:rFonts w:ascii="Arial" w:cs="Arial" w:eastAsia="Arial" w:hAnsi="Arial"/>
          <w:sz w:val="17"/>
          <w:szCs w:val="17"/>
          <w:color w:val="auto"/>
        </w:rPr>
        <w:t xml:space="preserve"> become and be immediately due and payable without further action or notice on the part of the Trustee or any Holder.</w:t>
      </w:r>
    </w:p>
    <w:p>
      <w:pPr>
        <w:spacing w:after="0" w:line="177" w:lineRule="exact"/>
        <w:rPr>
          <w:rFonts w:ascii="Arial" w:cs="Arial" w:eastAsia="Arial" w:hAnsi="Arial"/>
          <w:sz w:val="17"/>
          <w:szCs w:val="17"/>
          <w:color w:val="auto"/>
        </w:rPr>
      </w:pPr>
    </w:p>
    <w:p>
      <w:pPr>
        <w:ind w:firstLine="464"/>
        <w:spacing w:after="0" w:line="288" w:lineRule="auto"/>
        <w:tabs>
          <w:tab w:leader="none" w:pos="711" w:val="left"/>
        </w:tabs>
        <w:numPr>
          <w:ilvl w:val="0"/>
          <w:numId w:val="63"/>
        </w:numPr>
        <w:rPr>
          <w:rFonts w:ascii="Arial" w:cs="Arial" w:eastAsia="Arial" w:hAnsi="Arial"/>
          <w:sz w:val="16"/>
          <w:szCs w:val="16"/>
          <w:color w:val="auto"/>
        </w:rPr>
      </w:pPr>
      <w:r>
        <w:rPr>
          <w:rFonts w:ascii="Arial" w:cs="Arial" w:eastAsia="Arial" w:hAnsi="Arial"/>
          <w:sz w:val="16"/>
          <w:szCs w:val="16"/>
          <w:color w:val="auto"/>
        </w:rPr>
        <w:t>At any time after such a declaration of acceleration with respect to the Securities of any series has been made and before a judgment or decree for payment of the money due has been obtained by the Trustee as hereinafter in this Article 5 provided, the Holders of a majority in Principal Amount of the outstanding Securities of such series, by written notice to the Company and the Trustee, may rescind and annul such declaration and its consequences if (i) the Company or a Guarantor has paid or deposited with the Trustee a sum sufficient to pay (A) all overdue interest on all of the Securities of that series, (B) the principal of (and premium, if any, on) Securities of that series which has become due otherwise than by such declaration of acceleration and any interest thereon at the rate or rates prescribed therefor in the Securities of that series, (C) to the extent that payment of such interest is lawful, interest upon overdue interest at the rate or rates prescribed therefor in the Securities of that series, and (D) all sums paid or advanced by the Trustee hereunder and the reasonable compensation, expenses, disbursements and advances of the Trustee and its agents and counsel and (ii) all Events of Default with respect to the Securities of that series, other than the non-payment of the principal of the Securities of that series which have become due solely by such declaration of acceleration, have been cured or waived as provided in Section 5.04. No such rescission will affect any subsequent default or impair any right consequent thereon.</w:t>
      </w:r>
    </w:p>
    <w:p>
      <w:pPr>
        <w:spacing w:after="0" w:line="16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Other Remedies</w:t>
      </w:r>
      <w:r>
        <w:rPr>
          <w:rFonts w:ascii="Arial" w:cs="Arial" w:eastAsia="Arial" w:hAnsi="Arial"/>
          <w:sz w:val="18"/>
          <w:szCs w:val="18"/>
          <w:color w:val="auto"/>
        </w:rPr>
        <w:t>. If an Event of Default with respect to Securities of any series occurs and is continuing, the Trustee may pursue any available remedy to collect the payment of principal or interest on the Securities of such series or to enforce the performance of any provision of the Securities of such series or this Indenture.</w:t>
      </w:r>
    </w:p>
    <w:p>
      <w:pPr>
        <w:spacing w:after="0" w:line="18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Trustee may maintain a proceeding even if it does not possess any of the Securities of such series or does not produce any of them in the proceeding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 A delay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61" w:name="page62"/>
    <w:bookmarkEnd w:id="61"/>
    <w:p>
      <w:pPr>
        <w:ind w:right="6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17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Waiver of Past Defaults</w:t>
      </w:r>
      <w:r>
        <w:rPr>
          <w:rFonts w:ascii="Arial" w:cs="Arial" w:eastAsia="Arial" w:hAnsi="Arial"/>
          <w:sz w:val="16"/>
          <w:szCs w:val="16"/>
          <w:color w:val="auto"/>
        </w:rPr>
        <w:t>. The Holders of not less than a majority in aggregate Principal Amount of the Securities of any series then outstanding by written notice to the Trustee may on behalf of the Holders of all of the Securities of such series waive any existing Default or Event of Default and its consequences under this Indenture except a continuing Default or Event of Default in the payment of the principal (whether at Stated Maturity, upon redemption (if applicable), upon any required repurchase by the Company (if applicable) or otherwise) of (and premium, if any) or interest, if any, on any Security of such series or, in the case of the Securities of any series that are convertible or exchangeable, in the payment or delivery of any consideration due upon conversion or exchange of the Securities of that series (if applicable). The Company may, but shall not be obligated to, fix a record date for the purpose of determining the Persons entitled to waive any past Default hereunder. If a record date is fixed, the Holders on such record date, or their duly designated proxies, and only such Persons, shall be entitled to waive any Default hereunder, whether or not such Holders remain Holders after such record date.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6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Control by Majority</w:t>
      </w:r>
      <w:r>
        <w:rPr>
          <w:rFonts w:ascii="Arial" w:cs="Arial" w:eastAsia="Arial" w:hAnsi="Arial"/>
          <w:sz w:val="17"/>
          <w:szCs w:val="17"/>
          <w:color w:val="auto"/>
        </w:rPr>
        <w:t>. With respect to the Securities of any series, the Holders of a majority in aggregate Principal Amount of the then outstanding Securities of that series may direct the time, method and place of conducting any proceeding for any remedy available to the Trustee or exercising any trust or power conferred on it. However, the Trustee may refuse to follow any direction that conflicts with law or this Indenture, that the Trustee in good faith determines may be unduly prejudicial to the rights of other Holders of that series or that may involve or cause the Trustee any potential liability. The Trustee may take any other action which it deems proper which is not inconsistent with any such direction.</w:t>
      </w:r>
    </w:p>
    <w:p>
      <w:pPr>
        <w:spacing w:after="0" w:line="17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Limitation on Suits</w:t>
      </w:r>
      <w:r>
        <w:rPr>
          <w:rFonts w:ascii="Arial" w:cs="Arial" w:eastAsia="Arial" w:hAnsi="Arial"/>
          <w:sz w:val="18"/>
          <w:szCs w:val="18"/>
          <w:color w:val="auto"/>
        </w:rPr>
        <w:t>. A Holder of any Security of any series may pursue a remedy with respect to this Indenture or the Securities of the applicable series only if:</w:t>
      </w:r>
    </w:p>
    <w:p>
      <w:pPr>
        <w:spacing w:after="0" w:line="170" w:lineRule="exact"/>
        <w:rPr>
          <w:sz w:val="20"/>
          <w:szCs w:val="20"/>
          <w:color w:val="auto"/>
        </w:rPr>
      </w:pPr>
    </w:p>
    <w:p>
      <w:pPr>
        <w:ind w:left="700" w:hanging="236"/>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Holder gives to the Trustee written notice of a continuing Event of Default with respect to that series;</w:t>
      </w:r>
    </w:p>
    <w:p>
      <w:pPr>
        <w:spacing w:after="0" w:line="225"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then outstanding Securities of that series make a written request to the Trustee to pursue the remedy;</w:t>
      </w:r>
    </w:p>
    <w:p>
      <w:pPr>
        <w:spacing w:after="0" w:line="170" w:lineRule="exact"/>
        <w:rPr>
          <w:rFonts w:ascii="Arial" w:cs="Arial" w:eastAsia="Arial" w:hAnsi="Arial"/>
          <w:sz w:val="18"/>
          <w:szCs w:val="18"/>
          <w:color w:val="auto"/>
        </w:rPr>
      </w:pPr>
    </w:p>
    <w:p>
      <w:pPr>
        <w:ind w:right="420" w:firstLine="464"/>
        <w:spacing w:after="0" w:line="277" w:lineRule="auto"/>
        <w:tabs>
          <w:tab w:leader="none" w:pos="701"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Holder or Holders provide to the Trustee indemnity satisfactory to the Trustee against any loss, liability or expense in connection with the pursuance of such remedy;</w:t>
      </w:r>
    </w:p>
    <w:p>
      <w:pPr>
        <w:spacing w:after="0" w:line="170"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64"/>
        </w:numPr>
        <w:rPr>
          <w:rFonts w:ascii="Arial" w:cs="Arial" w:eastAsia="Arial" w:hAnsi="Arial"/>
          <w:sz w:val="18"/>
          <w:szCs w:val="18"/>
          <w:color w:val="auto"/>
        </w:rPr>
      </w:pPr>
      <w:r>
        <w:rPr>
          <w:rFonts w:ascii="Arial" w:cs="Arial" w:eastAsia="Arial" w:hAnsi="Arial"/>
          <w:sz w:val="18"/>
          <w:szCs w:val="18"/>
          <w:color w:val="auto"/>
        </w:rPr>
        <w:t>during the 60-day period specified in (e) below, the Holders of a majority in aggregate Principal Amount of the then outstanding Securities of such series do not give the Trustee a direction inconsistent with the request; and</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calendar days after receipt of the notice, request and the offer of indemnity.</w:t>
      </w:r>
    </w:p>
    <w:p>
      <w:pPr>
        <w:spacing w:after="0" w:line="225"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Holders shall not have any right in any manner whatever by virtue of, or by availing of, any provision of this Indenture or any Security to affect, disturb or prejudice the rights of any other such Holders or Holders of Securities of any other series, or to obtain or to seek to obtain priority or preference over any other Holders or to enforce any right under this Indenture, except in the manner herein provided and for the equal and ratable benefit of all such Holders.</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Rights of Holders to Receive Payment</w:t>
      </w:r>
      <w:r>
        <w:rPr>
          <w:rFonts w:ascii="Arial" w:cs="Arial" w:eastAsia="Arial" w:hAnsi="Arial"/>
          <w:sz w:val="18"/>
          <w:szCs w:val="18"/>
          <w:color w:val="auto"/>
        </w:rPr>
        <w:t>. Notwithstanding any other provision of this Indenture, the right of any Holder to receive payment of principal (whether at Stated Maturity, upon redemption (if applicable), upon any required repurchase by the Company (if applicable) or otherwise) of (and premium, if 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62" w:name="page63"/>
    <w:bookmarkEnd w:id="62"/>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interest, if any, on any Security or, if applicable, payment or delivery of any consideration due upon conversion or exchange of any Security, in each case, on or after the respective due dates expressed in such Security, or to bring suit for the enforcement of any such payment or delivery on or after such respective dates, shall not be impaired or affected without the consent of the Holder.</w:t>
      </w:r>
    </w:p>
    <w:p>
      <w:pPr>
        <w:spacing w:after="0" w:line="18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Collection Suit by Trustee</w:t>
      </w:r>
      <w:r>
        <w:rPr>
          <w:rFonts w:ascii="Arial" w:cs="Arial" w:eastAsia="Arial" w:hAnsi="Arial"/>
          <w:sz w:val="16"/>
          <w:szCs w:val="16"/>
          <w:color w:val="auto"/>
        </w:rPr>
        <w:t>. If an Event of Default specified in Sections 5.01(a) and 5.01(b) occurs and is continuing, the Trustee is authorized to recover judgment in its own name and as trustee of an express trust against the Company, any Guarantor or any other obligor for the whole amount of principal (and premium, if any) and interest, if any, remaining unpaid on any Securities of such series and interest on overdue principal and, to the extent lawful, interest and such further amount as shall be sufficient to cover amounts due the Trustee under Section 6.07 hereof, including the costs and expenses of collection, including the reasonable compensation, expenses, disbursements and advances of the Trustee, its agents and counsel.</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u w:val="single" w:color="auto"/>
          <w:color w:val="auto"/>
        </w:rPr>
        <w:t>Trustee May File Proofs of Claim</w:t>
      </w:r>
      <w:r>
        <w:rPr>
          <w:rFonts w:ascii="Arial" w:cs="Arial" w:eastAsia="Arial" w:hAnsi="Arial"/>
          <w:sz w:val="17"/>
          <w:szCs w:val="17"/>
          <w:color w:val="auto"/>
        </w:rPr>
        <w:t>. 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or any Guarantor (or any other obligor upon the Securities),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6.07 hereof. To the extent that the payment of any such compensation, expenses, disbursements and advances of the Trustee, its agents and counsel, and any other amounts due the Trustee under Section 6.07 hereof out of the estate in any such proceeding, shall be denied for any reason, payment of the same shall be secured by a lien on, and shall be paid out of, any and all distributions, dividends, money, securities and other properties which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Securities of any series or the rights of any Holder thereof, or to authorize the Trustee to vote in respect of the claim of any Holder in any such proceeding.</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Priorities</w:t>
      </w:r>
      <w:r>
        <w:rPr>
          <w:rFonts w:ascii="Arial" w:cs="Arial" w:eastAsia="Arial" w:hAnsi="Arial"/>
          <w:sz w:val="18"/>
          <w:szCs w:val="18"/>
          <w:color w:val="auto"/>
        </w:rPr>
        <w:t>. If the Trustee collects any money pursuant to this Article, it shall pay out the money in the following order:</w:t>
      </w:r>
    </w:p>
    <w:p>
      <w:pPr>
        <w:spacing w:after="0" w:line="117" w:lineRule="exact"/>
        <w:rPr>
          <w:sz w:val="20"/>
          <w:szCs w:val="20"/>
          <w:color w:val="auto"/>
        </w:rPr>
      </w:pPr>
    </w:p>
    <w:p>
      <w:pPr>
        <w:ind w:left="460" w:right="140" w:firstLine="438"/>
        <w:spacing w:after="0" w:line="277" w:lineRule="auto"/>
        <w:rPr>
          <w:sz w:val="20"/>
          <w:szCs w:val="20"/>
          <w:color w:val="auto"/>
        </w:rPr>
      </w:pPr>
      <w:r>
        <w:rPr>
          <w:rFonts w:ascii="Arial" w:cs="Arial" w:eastAsia="Arial" w:hAnsi="Arial"/>
          <w:sz w:val="18"/>
          <w:szCs w:val="18"/>
          <w:color w:val="auto"/>
        </w:rPr>
        <w:t>First: to the Trustee, its agents and attorneys for amounts due under Section 6.07, including payment of all compensation, expense and liabilities incurred, and all advances made, by the Trustee and the costs and expenses of collection;</w:t>
      </w:r>
    </w:p>
    <w:p>
      <w:pPr>
        <w:spacing w:after="0" w:line="62" w:lineRule="exact"/>
        <w:rPr>
          <w:sz w:val="20"/>
          <w:szCs w:val="20"/>
          <w:color w:val="auto"/>
        </w:rPr>
      </w:pPr>
    </w:p>
    <w:p>
      <w:pPr>
        <w:ind w:left="460" w:firstLine="438"/>
        <w:spacing w:after="0" w:line="264" w:lineRule="auto"/>
        <w:rPr>
          <w:sz w:val="20"/>
          <w:szCs w:val="20"/>
          <w:color w:val="auto"/>
        </w:rPr>
      </w:pPr>
      <w:r>
        <w:rPr>
          <w:rFonts w:ascii="Arial" w:cs="Arial" w:eastAsia="Arial" w:hAnsi="Arial"/>
          <w:sz w:val="18"/>
          <w:szCs w:val="18"/>
          <w:color w:val="auto"/>
        </w:rPr>
        <w:t>Second: to Holders for amounts due and unpaid on the Securities of any series for principal (and premium, if any) and interest, if any, ratably, without preference or priority of any kind, according to the amounts due and payable on the Securities of such series for principal (and premium, if any) and interest, if any, respectively; and</w:t>
      </w:r>
    </w:p>
    <w:p>
      <w:pPr>
        <w:spacing w:after="0" w:line="73" w:lineRule="exact"/>
        <w:rPr>
          <w:sz w:val="20"/>
          <w:szCs w:val="20"/>
          <w:color w:val="auto"/>
        </w:rPr>
      </w:pPr>
    </w:p>
    <w:p>
      <w:pPr>
        <w:ind w:left="460" w:right="180" w:firstLine="438"/>
        <w:spacing w:after="0" w:line="277" w:lineRule="auto"/>
        <w:rPr>
          <w:sz w:val="20"/>
          <w:szCs w:val="20"/>
          <w:color w:val="auto"/>
        </w:rPr>
      </w:pPr>
      <w:r>
        <w:rPr>
          <w:rFonts w:ascii="Arial" w:cs="Arial" w:eastAsia="Arial" w:hAnsi="Arial"/>
          <w:sz w:val="18"/>
          <w:szCs w:val="18"/>
          <w:color w:val="auto"/>
        </w:rPr>
        <w:t>Third: to the Company or, to the extent the Trustee collects any amount pursuant to Section 2.02 hereof from a Guarantor, to such Guarantor, or to such party as a court of competent jurisdiction shall direct.</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Trustee may fix a record date and payment date for any payment to Holders pursuant to this Section 5.10 upon seven calendar days prior notice to the Company.</w:t>
      </w:r>
    </w:p>
    <w:p>
      <w:pPr>
        <w:spacing w:after="0" w:line="17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 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63" w:name="page64"/>
    <w:bookmarkEnd w:id="63"/>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litigant. This Section 5.11 does not apply to a suit by the Trustee, a suit by a Holder of Securities of the affected series pursuant to Section 5.07 hereof, a suit by Holders of more than 10% in aggregate Principal Amount of the then outstanding Securities of any series in the case of any suit relating to or arising under clause (a), (b), (c), (f) or (g) of Section 5.01, or a suit by Holders of more than 10% in aggregate Principal Amount of the then outstanding Securities of all series in the case of any suit relating to or arising under clause (d) or (e) of Section 5.01.</w:t>
      </w:r>
    </w:p>
    <w:p>
      <w:pPr>
        <w:spacing w:after="0" w:line="17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any Guarantor, the Trustee and the Holders shall be restored severally and respectively to their former positions hereunder and thereafter all rights and remedies of the Trustee and the Holders shall continue as though no such proceeding has been instituted.</w:t>
      </w:r>
    </w:p>
    <w:p>
      <w:pPr>
        <w:spacing w:after="0" w:line="18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Rights and Remedies Cumulative</w:t>
      </w:r>
      <w:r>
        <w:rPr>
          <w:rFonts w:ascii="Arial" w:cs="Arial" w:eastAsia="Arial" w:hAnsi="Arial"/>
          <w:sz w:val="17"/>
          <w:szCs w:val="17"/>
          <w:color w:val="auto"/>
        </w:rPr>
        <w:t>. Except as otherwise provided with respect to the replacement or payment of mutilated, destroyed, lost or stolen Securities in the last paragraph of Section 3.09,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 No delay or omission of the Trustee or of any Holder of Securities of any series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TRUSTEE</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Duties and Responsibilities of the Trustee; During Default; Prior to Default</w:t>
      </w:r>
      <w:r>
        <w:rPr>
          <w:rFonts w:ascii="Arial" w:cs="Arial" w:eastAsia="Arial" w:hAnsi="Arial"/>
          <w:sz w:val="16"/>
          <w:szCs w:val="16"/>
          <w:color w:val="auto"/>
        </w:rPr>
        <w:t>. The Trustee, with respect to the Securities of any series, prior to the occurrence of an Event of Default with respect to the Securities of such series and after the curing or waiving of all Events of Default with respect to the Securities of such series which may have occurred, undertakes to perform such duties and only such duties with respect to such series as are specifically set forth in this Indenture. In case an Event of Default with respect to the Securities of a series has occurred (and is continuing which has not been cured or waived) the Trustee shall exercise such of the rights and powers vested in it by this Indenture with respect to such series, and use the same degree of care and skill in their exercise, as a prudent person would exercise or use under the circumstances in the conduct of such person’s own affairs.</w:t>
      </w:r>
    </w:p>
    <w:p>
      <w:pPr>
        <w:spacing w:after="0" w:line="16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No provision of this Indenture shall be construed to relieve the Trustee from liability for its own negligent action, its own negligent failure to act or its own willful misconduct,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70" w:lineRule="exact"/>
        <w:rPr>
          <w:sz w:val="20"/>
          <w:szCs w:val="20"/>
          <w:color w:val="auto"/>
        </w:rPr>
      </w:pPr>
    </w:p>
    <w:p>
      <w:pPr>
        <w:ind w:right="120" w:firstLine="464"/>
        <w:spacing w:after="0" w:line="264" w:lineRule="auto"/>
        <w:tabs>
          <w:tab w:leader="none" w:pos="70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w:t>
      </w:r>
    </w:p>
    <w:p>
      <w:pPr>
        <w:spacing w:after="0" w:line="181" w:lineRule="exact"/>
        <w:rPr>
          <w:rFonts w:ascii="Arial" w:cs="Arial" w:eastAsia="Arial" w:hAnsi="Arial"/>
          <w:sz w:val="18"/>
          <w:szCs w:val="18"/>
          <w:color w:val="auto"/>
        </w:rPr>
      </w:pPr>
    </w:p>
    <w:p>
      <w:pPr>
        <w:ind w:right="20" w:firstLine="464"/>
        <w:spacing w:after="0" w:line="257" w:lineRule="auto"/>
        <w:tabs>
          <w:tab w:leader="none" w:pos="711"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any calculation or facts stated therein);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64" w:name="page65"/>
    <w:bookmarkEnd w:id="64"/>
    <w:p>
      <w:pPr>
        <w:ind w:firstLine="464"/>
        <w:spacing w:after="0" w:line="264" w:lineRule="auto"/>
        <w:tabs>
          <w:tab w:leader="none" w:pos="701"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shall not be liable for any error of judgment made in good faith by a Responsible Officer, unless it shall be conclusively determined by a court of competent jurisdiction or by such other means as may be agreed by the Company and the Trustee at the time of determination that the Trustee was negligent in ascertaining the pertinent facts; and</w:t>
      </w:r>
    </w:p>
    <w:p>
      <w:pPr>
        <w:spacing w:after="0" w:line="181" w:lineRule="exact"/>
        <w:rPr>
          <w:rFonts w:ascii="Arial" w:cs="Arial" w:eastAsia="Arial" w:hAnsi="Arial"/>
          <w:sz w:val="18"/>
          <w:szCs w:val="18"/>
          <w:color w:val="auto"/>
        </w:rPr>
      </w:pPr>
    </w:p>
    <w:p>
      <w:pPr>
        <w:ind w:right="60" w:firstLine="464"/>
        <w:spacing w:after="0" w:line="342" w:lineRule="auto"/>
        <w:tabs>
          <w:tab w:leader="none" w:pos="711"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Trustee shall not be liable with respect to any action taken or omitted to be taken by it in good faith in accordance with a Company Order or the direction of the Holders given as provided in Section 5.05 or otherwise exercising any trust or power conferred upon the Trustee, under this Indenture.</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None of the provisions contained in this Indenture shall require the Trustee to expend or risk its own funds or otherwise incur any potential or actual liability (financial or otherwise) in the performance of any of its duties or in the exercise of any of its rights or powers, if there shall be reasonable ground for believing that the repayment of such funds or adequate indemnity against such liability is not assured to it. This Section 6.01 is in furtherance of and subject to Sections 315 and 316 of the Trust Indenture Act.</w:t>
      </w:r>
    </w:p>
    <w:p>
      <w:pPr>
        <w:spacing w:after="0" w:line="18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Article 6.</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Certain Rights of the Trustee</w:t>
      </w:r>
      <w:r>
        <w:rPr>
          <w:rFonts w:ascii="Arial" w:cs="Arial" w:eastAsia="Arial" w:hAnsi="Arial"/>
          <w:sz w:val="18"/>
          <w:szCs w:val="18"/>
          <w:color w:val="auto"/>
        </w:rPr>
        <w:t>. In furtherance of and subject to the Trust Indenture Act, and subject to Section 6.01:</w:t>
      </w:r>
    </w:p>
    <w:p>
      <w:pPr>
        <w:spacing w:after="0" w:line="225" w:lineRule="exact"/>
        <w:rPr>
          <w:sz w:val="20"/>
          <w:szCs w:val="20"/>
          <w:color w:val="auto"/>
        </w:rPr>
      </w:pPr>
    </w:p>
    <w:p>
      <w:pPr>
        <w:ind w:right="80" w:firstLine="464"/>
        <w:spacing w:after="0" w:line="264" w:lineRule="auto"/>
        <w:tabs>
          <w:tab w:leader="none" w:pos="70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Trustee may conclusively rely and shall be protected in acting or refraining from acting upon any resolution, Officers’ Certificate, Opinion of Counsel or any other certificate, statement, instrument, opinion, report, notice, request, consent, order, bond, debenture, note, coupon, security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jc w:val="both"/>
        <w:ind w:right="120" w:firstLine="464"/>
        <w:spacing w:after="0" w:line="302" w:lineRule="auto"/>
        <w:tabs>
          <w:tab w:leader="none" w:pos="711"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request, direction, order or demand of the Company mentioned herein shall be sufficiently evidenced by an Officers’ Certificate (unless other evidence in respect thereof be herein specifically prescribed) and the Trustee may request and be entitled to receive an Officers’ Certificate before acting or refraining from acting with respect to such request, direction, order or demand; and any resolution of the Board of Directors of the Company or a Guarantor, if any, may be evidenced to the Trustee by a copy thereof certified by the Secretary or an Assistant Secretary of the Company or that Guarantor;</w:t>
      </w:r>
    </w:p>
    <w:p>
      <w:pPr>
        <w:spacing w:after="0" w:line="154" w:lineRule="exact"/>
        <w:rPr>
          <w:rFonts w:ascii="Arial" w:cs="Arial" w:eastAsia="Arial" w:hAnsi="Arial"/>
          <w:sz w:val="16"/>
          <w:szCs w:val="16"/>
          <w:color w:val="auto"/>
        </w:rPr>
      </w:pPr>
    </w:p>
    <w:p>
      <w:pPr>
        <w:ind w:right="140" w:firstLine="464"/>
        <w:spacing w:after="0" w:line="342" w:lineRule="auto"/>
        <w:tabs>
          <w:tab w:leader="none" w:pos="701"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Trustee may consult with counsel of its selection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123" w:lineRule="exact"/>
        <w:rPr>
          <w:rFonts w:ascii="Arial" w:cs="Arial" w:eastAsia="Arial" w:hAnsi="Arial"/>
          <w:sz w:val="16"/>
          <w:szCs w:val="16"/>
          <w:color w:val="auto"/>
        </w:rPr>
      </w:pPr>
    </w:p>
    <w:p>
      <w:pPr>
        <w:ind w:right="60" w:firstLine="464"/>
        <w:spacing w:after="0" w:line="286" w:lineRule="auto"/>
        <w:tabs>
          <w:tab w:leader="none" w:pos="711"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order or direction of any of the Holders of the Securities of any series pursuant to the provisions of this Indenture, unless such Holders shall have offered and provided to the Trustee security or indemnity satisfactory to it against the costs, expenses and liabilities which might be incurred therein or thereby;</w:t>
      </w:r>
    </w:p>
    <w:p>
      <w:pPr>
        <w:spacing w:after="0" w:line="165" w:lineRule="exact"/>
        <w:rPr>
          <w:rFonts w:ascii="Arial" w:cs="Arial" w:eastAsia="Arial" w:hAnsi="Arial"/>
          <w:sz w:val="17"/>
          <w:szCs w:val="17"/>
          <w:color w:val="auto"/>
        </w:rPr>
      </w:pPr>
    </w:p>
    <w:p>
      <w:pPr>
        <w:ind w:firstLine="464"/>
        <w:spacing w:after="0" w:line="277" w:lineRule="auto"/>
        <w:tabs>
          <w:tab w:leader="none" w:pos="70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by it in good faith and believed by it to be authorized or within the discretion, rights or powers conferred upon it by this Indenture;</w:t>
      </w:r>
    </w:p>
    <w:p>
      <w:pPr>
        <w:spacing w:after="0" w:line="170" w:lineRule="exact"/>
        <w:rPr>
          <w:rFonts w:ascii="Arial" w:cs="Arial" w:eastAsia="Arial" w:hAnsi="Arial"/>
          <w:sz w:val="18"/>
          <w:szCs w:val="18"/>
          <w:color w:val="auto"/>
        </w:rPr>
      </w:pPr>
    </w:p>
    <w:p>
      <w:pPr>
        <w:ind w:right="20" w:firstLine="464"/>
        <w:spacing w:after="0" w:line="272" w:lineRule="auto"/>
        <w:tabs>
          <w:tab w:leader="none" w:pos="681"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any series then outstanding;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payment within a reasonable time to the Trustee of the costs, expenses or liabilities likely to be incurred by it in the making of such investigation is, in the opinion of the Trustee, not assured to the Trustee by the security afforded to it by the terms of this Indenture, the Trustee may require (and shall not be required to make such investigation unless it receives) indemnity satisfactory to it against such expenses or liabilities as a condition to proceeding; the reasonable expenses of every such examination shall be paid by the Company;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65" w:name="page66"/>
    <w:bookmarkEnd w:id="65"/>
    <w:p>
      <w:pPr>
        <w:ind w:right="80" w:firstLine="464"/>
        <w:spacing w:after="0" w:line="264" w:lineRule="auto"/>
        <w:tabs>
          <w:tab w:leader="none" w:pos="711"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81" w:lineRule="exact"/>
        <w:rPr>
          <w:rFonts w:ascii="Arial" w:cs="Arial" w:eastAsia="Arial" w:hAnsi="Arial"/>
          <w:sz w:val="18"/>
          <w:szCs w:val="18"/>
          <w:color w:val="auto"/>
        </w:rPr>
      </w:pPr>
    </w:p>
    <w:p>
      <w:pPr>
        <w:ind w:right="340" w:firstLine="464"/>
        <w:spacing w:after="0" w:line="264" w:lineRule="auto"/>
        <w:tabs>
          <w:tab w:leader="none" w:pos="71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under this Indenture, including, without limitation, its right to be indemnified, are extended to, and shall be enforceable by, the Trustee in each of its capacities hereunder, and to each agent, custodian and other Person employed to act hereunder and the employees, officers and directors of the Trustee;</w:t>
      </w:r>
    </w:p>
    <w:p>
      <w:pPr>
        <w:spacing w:after="0" w:line="181" w:lineRule="exact"/>
        <w:rPr>
          <w:rFonts w:ascii="Arial" w:cs="Arial" w:eastAsia="Arial" w:hAnsi="Arial"/>
          <w:sz w:val="18"/>
          <w:szCs w:val="18"/>
          <w:color w:val="auto"/>
        </w:rPr>
      </w:pPr>
    </w:p>
    <w:p>
      <w:pPr>
        <w:ind w:right="60" w:firstLine="464"/>
        <w:spacing w:after="0" w:line="259" w:lineRule="auto"/>
        <w:tabs>
          <w:tab w:leader="none" w:pos="67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Trustee shall not be deemed to have knowledge of any Default or Event of Default unless a Responsible Officer of the Trustee has received from a Holder, the Company or any Guarantor written notice of any event which is in fact such a Default or Event of Default, as the case may be, and such notice references the Securities, this Indenture, the circumstances giving rise to such a Default or Event of Default and that the same has occurred and is continuing; and</w:t>
      </w:r>
    </w:p>
    <w:p>
      <w:pPr>
        <w:spacing w:after="0" w:line="186" w:lineRule="exact"/>
        <w:rPr>
          <w:rFonts w:ascii="Arial" w:cs="Arial" w:eastAsia="Arial" w:hAnsi="Arial"/>
          <w:sz w:val="18"/>
          <w:szCs w:val="18"/>
          <w:color w:val="auto"/>
        </w:rPr>
      </w:pPr>
    </w:p>
    <w:p>
      <w:pPr>
        <w:ind w:right="160" w:firstLine="464"/>
        <w:spacing w:after="0" w:line="286" w:lineRule="auto"/>
        <w:tabs>
          <w:tab w:leader="none" w:pos="671"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Trustee Not Responsible for Recitals, Disposition of Securities or Application of Proceeds Thereof</w:t>
      </w:r>
      <w:r>
        <w:rPr>
          <w:rFonts w:ascii="Arial" w:cs="Arial" w:eastAsia="Arial" w:hAnsi="Arial"/>
          <w:sz w:val="18"/>
          <w:szCs w:val="18"/>
          <w:color w:val="auto"/>
        </w:rPr>
        <w:t>. The recitals contained herein and in the Securities, except the Trustee’s certificates of authentication, shall be taken as the statements of the Company, and the Trustee assumes no responsibility for the correctness of the same. The Trustee makes no representation as to the validity or sufficiency of this Indenture or of the Securities,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The Trustee shall not be liable or accountable in any manner for the use or application by the Company of any of the Securities or of the proceeds thereof.</w:t>
      </w:r>
    </w:p>
    <w:p>
      <w:pPr>
        <w:spacing w:after="0" w:line="18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Trustee and Agents May Hold Securities; Collections, Etc</w:t>
      </w:r>
      <w:r>
        <w:rPr>
          <w:rFonts w:ascii="Arial" w:cs="Arial" w:eastAsia="Arial" w:hAnsi="Arial"/>
          <w:sz w:val="18"/>
          <w:szCs w:val="18"/>
          <w:color w:val="auto"/>
        </w:rPr>
        <w:t>. The Trustee or any of its affiliates or any agent of the Company or the Trustee, in its individual or any other capacity, may become the owner or pledgee of Securities, subject to Sections 6.10 and 6.13 with the same rights it would have if it were not the Trustee or such agent and may otherwise deal with the Company, any Guarantor or their respective affiliates and receive, collect, hold and retain collections from the Company with the same rights it would have if it were not the Trustee or such agent. However, in the event that the Trustee acquires any “conflicting interest,” as defined in Section 310(b) of the Trust Indenture Act, it must eliminate such conflict within 90 calendar days, apply to the Commission for permission to continue as trustee or resign.</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Moneys Held by Trustee</w:t>
      </w:r>
      <w:r>
        <w:rPr>
          <w:rFonts w:ascii="Arial" w:cs="Arial" w:eastAsia="Arial" w:hAnsi="Arial"/>
          <w:sz w:val="18"/>
          <w:szCs w:val="18"/>
          <w:color w:val="auto"/>
        </w:rPr>
        <w:t>.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Company or the Trustee shall be under any liability for interest on any moneys received by it hereunder, except as otherwise agreed with the Company.</w:t>
      </w:r>
    </w:p>
    <w:p>
      <w:pPr>
        <w:spacing w:after="0" w:line="1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Notice of Default</w:t>
      </w:r>
      <w:r>
        <w:rPr>
          <w:rFonts w:ascii="Arial" w:cs="Arial" w:eastAsia="Arial" w:hAnsi="Arial"/>
          <w:sz w:val="18"/>
          <w:szCs w:val="18"/>
          <w:color w:val="auto"/>
        </w:rPr>
        <w:t xml:space="preserve">. If any Default or any Event of Default occurs and is continuing with respect to the Securities of any series and if such Default or Event of Default is actually known to a Responsible Officer of the Trustee, the Trustee shall mail to each Holder of Securities of such series in the manner and to the extent provided in Trust Indenture Act Section 313(c) notice of the Default or Event of Default (“Notice of Default”) within 90 calendar days after it occurs, unless such Default or Event of Default has been cured;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in the case of a default in the payment of the principal (whether at Stated Maturity, upon redemption (if applicable), upon any required repurchase by the Company (if applicable) or otherwise) of, or interest or premium, if any, on any Security of such series, in the payment or delivery of any consideration due upon conversion or exchange of any Security of such series (if applicable) or in the payment of any sinking fund installment with respect to Securities of such series, the Trustee shall be protected in withholding such notice if and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66" w:name="page67"/>
    <w:bookmarkEnd w:id="66"/>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 long as the board of directors, the executive committee or a trust committee of directors and/or Responsible Officers of the Trustee in good faith determine that the withholding of such notice is in the interest of the Holders of Securities of such series.</w:t>
      </w:r>
    </w:p>
    <w:p>
      <w:pPr>
        <w:spacing w:after="0" w:line="17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Compensation and Indemnification of Trustee and Its Prior Claim</w:t>
      </w:r>
      <w:r>
        <w:rPr>
          <w:rFonts w:ascii="Arial" w:cs="Arial" w:eastAsia="Arial" w:hAnsi="Arial"/>
          <w:sz w:val="16"/>
          <w:szCs w:val="16"/>
          <w:color w:val="auto"/>
        </w:rPr>
        <w:t>. The Company covenants and agrees to pay to the Trustee from time to time, and the Trustee shall be entitled to, such compensation as shall be agreed in writing between the Company and the Trustee (which shall not be limited by any provision of law in regard to the compensation of a trustee of an express trust) and the Company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(as determined by a court of competent jurisdiction in a final, non-appealable decision or by such other means as may be agreed by the Company and the Trustee at the time of determination). The Company also covenants to indemnify the Trustee and each predecessor Trustee for, and to hold it harmless against, any and all loss, liability, damage, claim or expense, including taxes (other than taxes based on the income of the Trustee) incurred without negligence or bad faith on its part (as determined by a court of competent jurisdiction in a final, non-appealable decision or by such other means as may be agreed by the Company and the Trustee at the time of determination), arising out of or in connection with the acceptance or administration of this Indenture or the trusts hereunder and its duties hereunder, including without limitation the costs and expenses of defending itself against or investigating any claim (whether asserted by the Company, a Holder or any other Person). The obligations of the Company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financial obligations of the Company identified in this Section 6.07 shall be a senior claim to that of the Securities of each series, and as security for such obligations, the Trustee shall have a lien prior to such Securities, upon all property and funds held or collected by the Trustee as such, except funds held in trust for the benefit of the Holders of particular Securities, and the Securities of each series are hereby subordinated to such senior claim. Such lien shall survive the discharge and satisfaction of this Indenture.</w:t>
      </w:r>
    </w:p>
    <w:p>
      <w:pPr>
        <w:spacing w:after="0" w:line="173" w:lineRule="exact"/>
        <w:rPr>
          <w:sz w:val="20"/>
          <w:szCs w:val="20"/>
          <w:color w:val="auto"/>
        </w:rPr>
      </w:pPr>
    </w:p>
    <w:p>
      <w:pPr>
        <w:ind w:right="580" w:firstLine="456"/>
        <w:spacing w:after="0" w:line="264" w:lineRule="auto"/>
        <w:rPr>
          <w:sz w:val="20"/>
          <w:szCs w:val="20"/>
          <w:color w:val="auto"/>
        </w:rPr>
      </w:pPr>
      <w:r>
        <w:rPr>
          <w:rFonts w:ascii="Arial" w:cs="Arial" w:eastAsia="Arial" w:hAnsi="Arial"/>
          <w:sz w:val="18"/>
          <w:szCs w:val="18"/>
          <w:color w:val="auto"/>
        </w:rPr>
        <w:t>When the Trustee incurs expenses or renders services in connection with an Event of Default specified in Section 5.01(d) or Section 5.01(e),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Right of Trustee to Rely on Officers’ Certificate, Etc</w:t>
      </w:r>
      <w:r>
        <w:rPr>
          <w:rFonts w:ascii="Arial" w:cs="Arial" w:eastAsia="Arial" w:hAnsi="Arial"/>
          <w:sz w:val="18"/>
          <w:szCs w:val="18"/>
          <w:color w:val="auto"/>
        </w:rPr>
        <w:t>. 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u w:val="single" w:color="auto"/>
          <w:color w:val="auto"/>
        </w:rPr>
        <w:t>Persons Eligible for Appointment as Trustee</w:t>
      </w:r>
      <w:r>
        <w:rPr>
          <w:rFonts w:ascii="Arial" w:cs="Arial" w:eastAsia="Arial" w:hAnsi="Arial"/>
          <w:sz w:val="17"/>
          <w:szCs w:val="17"/>
          <w:color w:val="auto"/>
        </w:rPr>
        <w:t>. The Trustee hereunder shall at all times be a corporation, national association or other appropriate entity having a combined capital and surplus of at least $150,000,000, and which is eligible in accordance with the provisions of Section 310(a) of the Trust Indenture Act.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Resignation and Removal; Appointment of Successor Trustee</w:t>
      </w:r>
      <w:r>
        <w:rPr>
          <w:rFonts w:ascii="Arial" w:cs="Arial" w:eastAsia="Arial" w:hAnsi="Arial"/>
          <w:sz w:val="18"/>
          <w:szCs w:val="18"/>
          <w:color w:val="auto"/>
        </w:rPr>
        <w:t>.</w:t>
      </w:r>
    </w:p>
    <w:p>
      <w:pPr>
        <w:spacing w:after="0" w:line="225" w:lineRule="exact"/>
        <w:rPr>
          <w:sz w:val="20"/>
          <w:szCs w:val="20"/>
          <w:color w:val="auto"/>
        </w:rPr>
      </w:pPr>
    </w:p>
    <w:p>
      <w:pPr>
        <w:ind w:right="160" w:firstLine="464"/>
        <w:spacing w:after="0" w:line="277" w:lineRule="auto"/>
        <w:tabs>
          <w:tab w:leader="none" w:pos="70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Trustee may at any time resign with respect to the Securities of one or more series by giving written notice of resignation to the Company and to the Holders of Securities of such series, such notice to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67" w:name="page68"/>
    <w:bookmarkEnd w:id="6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Holders to be given by mailing (by first class mail) the same within 30 calendar days after such notice is given to the Company. Upon receiving such notice of resignation, the Company shall promptly appoint a successor trustee by written instrument in duplicate, executed by authority of the Board of Directors of the Company, one copy of which instrument shall be delivered to the resigning Trustee and one copy to the successor trustee. If no successor trustee shall have been so appointed and have accepted appointment within 30 calendar days after the mailing of such notice of resignation, the resigning trustee may petition, at the expense of the Company, any court of competent jurisdiction for the appointment of a successor trustee, or any Holder of the affected series who has been a bona fide holder of the Securities of the affected series for at least six months (or since the Issue Date for such Securities if the holding period is less than six months) may, on behalf of itself and all others similarly situated, petition any such court for the appointment of a successor trustee. Such court may thereupon, after such notice, if any, as it may deem proper and prescribe, appoint a successor trustee.</w:t>
      </w:r>
    </w:p>
    <w:p>
      <w:pPr>
        <w:spacing w:after="0" w:line="166" w:lineRule="exact"/>
        <w:rPr>
          <w:sz w:val="20"/>
          <w:szCs w:val="20"/>
          <w:color w:val="auto"/>
        </w:rPr>
      </w:pPr>
    </w:p>
    <w:p>
      <w:pPr>
        <w:ind w:left="720" w:hanging="256"/>
        <w:spacing w:after="0"/>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117" w:lineRule="exact"/>
        <w:rPr>
          <w:rFonts w:ascii="Arial" w:cs="Arial" w:eastAsia="Arial" w:hAnsi="Arial"/>
          <w:sz w:val="18"/>
          <w:szCs w:val="18"/>
          <w:color w:val="auto"/>
        </w:rPr>
      </w:pPr>
    </w:p>
    <w:p>
      <w:pPr>
        <w:ind w:left="460" w:firstLine="443"/>
        <w:spacing w:after="0" w:line="277" w:lineRule="auto"/>
        <w:tabs>
          <w:tab w:leader="none" w:pos="1113"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310(b) of the Trust Indenture Act, after written request therefor by the Company or by any Holder who has been a bona fide holder of Securities of the affected series for at least six months; or</w:t>
      </w:r>
    </w:p>
    <w:p>
      <w:pPr>
        <w:spacing w:after="0" w:line="62" w:lineRule="exact"/>
        <w:rPr>
          <w:rFonts w:ascii="Arial" w:cs="Arial" w:eastAsia="Arial" w:hAnsi="Arial"/>
          <w:sz w:val="18"/>
          <w:szCs w:val="18"/>
          <w:color w:val="auto"/>
        </w:rPr>
      </w:pPr>
    </w:p>
    <w:p>
      <w:pPr>
        <w:ind w:left="460" w:firstLine="443"/>
        <w:spacing w:after="0" w:line="277" w:lineRule="auto"/>
        <w:tabs>
          <w:tab w:leader="none" w:pos="1163"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6.09, and shall fail to resign after written request therefor by the Company or by any such Holder; or</w:t>
      </w:r>
    </w:p>
    <w:p>
      <w:pPr>
        <w:spacing w:after="0" w:line="62" w:lineRule="exact"/>
        <w:rPr>
          <w:rFonts w:ascii="Arial" w:cs="Arial" w:eastAsia="Arial" w:hAnsi="Arial"/>
          <w:sz w:val="18"/>
          <w:szCs w:val="18"/>
          <w:color w:val="auto"/>
        </w:rPr>
      </w:pPr>
    </w:p>
    <w:p>
      <w:pPr>
        <w:jc w:val="both"/>
        <w:ind w:left="460" w:right="40" w:firstLine="443"/>
        <w:spacing w:after="0" w:line="264" w:lineRule="auto"/>
        <w:tabs>
          <w:tab w:leader="none" w:pos="1213"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as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then, in any such case, the Company may remove the Trustee and appoint a successor trustee by written instrument, in duplicate, executed by authority of the Board of Directors of the Company, one copy of which instrument shall be delivered to the Trustee so removed and one copy to the successor trustee, or, subject to Section 315(e) of the Trust Indenture Act, any Holder of the affected series who has been a bona fide holder of the Securities of the affected series for at least six months may, on behalf of itself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93" w:lineRule="exact"/>
        <w:rPr>
          <w:sz w:val="20"/>
          <w:szCs w:val="20"/>
          <w:color w:val="auto"/>
        </w:rPr>
      </w:pPr>
    </w:p>
    <w:p>
      <w:pPr>
        <w:ind w:right="80" w:firstLine="464"/>
        <w:spacing w:after="0" w:line="286" w:lineRule="auto"/>
        <w:tabs>
          <w:tab w:leader="none" w:pos="701"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Holders of a majority in aggregate Principal Amount of the Securities of any series at the time outstanding may at any time remove the Trustee for that series and appoint a successor trustee by delivering to the Trustee so removed, to the successor trustee so appointed and to the Company and any Guarantor the evidence provided for in Section 7.01 of the action in that regard taken by the Holders of that series.</w:t>
      </w:r>
    </w:p>
    <w:p>
      <w:pPr>
        <w:spacing w:after="0" w:line="166"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If no successor trustee shall have been so appointed and have accepted appointment 30 calendar days after the mailing of such notice of removal, the Trustee being removed may petition, at the expense of the Company, any court of competent jurisdiction for the appointment of a successor trustee. Such court may thereupon, after such notice, if any, as it may deem proper and prescribe, appoint a successor trustee.</w:t>
      </w:r>
    </w:p>
    <w:p>
      <w:pPr>
        <w:spacing w:after="0" w:line="166" w:lineRule="exact"/>
        <w:rPr>
          <w:sz w:val="20"/>
          <w:szCs w:val="20"/>
          <w:color w:val="auto"/>
        </w:rPr>
      </w:pPr>
    </w:p>
    <w:p>
      <w:pPr>
        <w:ind w:right="280" w:firstLine="464"/>
        <w:spacing w:after="0" w:line="277" w:lineRule="auto"/>
        <w:tabs>
          <w:tab w:leader="none" w:pos="711"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resignation or removal of the Trustee and any appointment of a successor trustee pursuant to any of the provisions of this Section 6.10 shall become effective upon acceptance of appointment by the successor trustee as provided in Section 6.11.</w:t>
      </w:r>
    </w:p>
    <w:p>
      <w:pPr>
        <w:spacing w:after="0" w:line="170" w:lineRule="exact"/>
        <w:rPr>
          <w:rFonts w:ascii="Arial" w:cs="Arial" w:eastAsia="Arial" w:hAnsi="Arial"/>
          <w:sz w:val="18"/>
          <w:szCs w:val="18"/>
          <w:color w:val="auto"/>
        </w:rPr>
      </w:pPr>
    </w:p>
    <w:p>
      <w:pPr>
        <w:ind w:right="120" w:firstLine="464"/>
        <w:spacing w:after="0" w:line="259" w:lineRule="auto"/>
        <w:tabs>
          <w:tab w:leader="none" w:pos="70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shall give notice of each resignation and each removal of the Trustee with respect to the Securities of any series and each appointment of a successor Trustee with respect to the Securities of any series by mailing written notice of such event by first-class mail, postage prepaid, to all Holders of Securities of such series as their names and addresses appear in the Security Register. Each notice shall include the name of the successor Trustee with respect to the Securities of such series and the address of its Corporate Trust Office.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6.11.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93" w:lineRule="auto"/>
        <w:tabs>
          <w:tab w:leader="none" w:pos="701"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fees, costs, expenses and other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64" w:lineRule="exact"/>
        <w:rPr>
          <w:rFonts w:ascii="Arial" w:cs="Arial" w:eastAsia="Arial" w:hAnsi="Arial"/>
          <w:sz w:val="16"/>
          <w:szCs w:val="16"/>
          <w:color w:val="auto"/>
        </w:rPr>
      </w:pPr>
    </w:p>
    <w:p>
      <w:pPr>
        <w:ind w:firstLine="464"/>
        <w:spacing w:after="0" w:line="285" w:lineRule="auto"/>
        <w:tabs>
          <w:tab w:leader="none" w:pos="711"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any applicable Guarantor,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upon payment of its fees, costs, expenses and other charges duly assign, transfer and deliver to such successor Trustee all property and money held by such retiring Trustee hereunder with respect to the Securities of that or those series to which the appointment of such successor Trustee relates.</w:t>
      </w:r>
    </w:p>
    <w:p>
      <w:pPr>
        <w:spacing w:after="0" w:line="177" w:lineRule="exact"/>
        <w:rPr>
          <w:rFonts w:ascii="Arial" w:cs="Arial" w:eastAsia="Arial" w:hAnsi="Arial"/>
          <w:sz w:val="16"/>
          <w:szCs w:val="16"/>
          <w:color w:val="auto"/>
        </w:rPr>
      </w:pPr>
    </w:p>
    <w:p>
      <w:pPr>
        <w:jc w:val="both"/>
        <w:ind w:right="200" w:firstLine="464"/>
        <w:spacing w:after="0" w:line="264" w:lineRule="auto"/>
        <w:tabs>
          <w:tab w:leader="none" w:pos="701"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Upon request of any such successor Trustee, the Company and any applicable Guarantor shall execute any and all instruments for more fully and certainly vesting in and confirming to such successor Trustee all such rights, powers and trusts referred to in paragraph (a) or (b) of this Section, as the case may be.</w:t>
      </w:r>
    </w:p>
    <w:p>
      <w:pPr>
        <w:spacing w:after="0" w:line="181"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the Trust Indenture Act.</w:t>
      </w:r>
    </w:p>
    <w:p>
      <w:pPr>
        <w:spacing w:after="0" w:line="17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Merger, Conversion, Consolidation or Succession to Business of Trustee</w:t>
      </w:r>
      <w:r>
        <w:rPr>
          <w:rFonts w:ascii="Arial" w:cs="Arial" w:eastAsia="Arial" w:hAnsi="Arial"/>
          <w:sz w:val="17"/>
          <w:szCs w:val="17"/>
          <w:color w:val="auto"/>
        </w:rPr>
        <w:t xml:space="preserve">. Any corporation or national association into which the Trustee may be merged or converted or with which it may be consolidated, or to which the Trustee’s assets may be sold, or any corporation or national association resulting from any merger, conversion, consolidation or sale to which the Trustee shall be a party or by which the Trustee’s property may be bound, or any corporation or national association succeeding to all or substantially all the corporate trust business of the Trustee, shall be the successor of the Trustee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entity shall be eligible under the provisions of Section 6.09, without the execution or filing of any paper or any further act on the part of any of the parties hereto, anything herein to the contrary notwithstanding.</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In case at the time such successor to the Trustee shall succeed to the trusts created by this Indenture any of the Securities shall have been authenticated but not delivered, any such successor to the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 shall have the full force that it is anywhere in the Securities or in this Indenture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69" w:name="page70"/>
    <w:bookmarkEnd w:id="69"/>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right to adopt the certificate of authentication of any predecessor Trustee or to authenticate Securities in the name of any predecessor Trustee shall apply only to its successor or successors by merger, conversion or consolidation.</w:t>
      </w:r>
    </w:p>
    <w:p>
      <w:pPr>
        <w:spacing w:after="0" w:line="17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Preferential Collection of Claims</w:t>
      </w:r>
      <w:r>
        <w:rPr>
          <w:rFonts w:ascii="Arial" w:cs="Arial" w:eastAsia="Arial" w:hAnsi="Arial"/>
          <w:sz w:val="16"/>
          <w:szCs w:val="16"/>
          <w:color w:val="auto"/>
        </w:rPr>
        <w:t>. If the Trustee shall be or shall become a creditor, directly or indirectly, secured or unsecured, of the Company (or any other obligor on the Securities), the Trustee shall be subject to the provisions of Section 311 of the Trust Indenture Act regarding the collection of claims against the Company (or any such other obligor). For purposes of Section 311(b) (4) and (6) of such Act, the following terms shall mean:</w:t>
      </w:r>
    </w:p>
    <w:p>
      <w:pPr>
        <w:spacing w:after="0" w:line="147" w:lineRule="exact"/>
        <w:rPr>
          <w:sz w:val="20"/>
          <w:szCs w:val="20"/>
          <w:color w:val="auto"/>
        </w:rPr>
      </w:pPr>
    </w:p>
    <w:p>
      <w:pPr>
        <w:ind w:right="40" w:firstLine="464"/>
        <w:spacing w:after="0" w:line="277" w:lineRule="auto"/>
        <w:tabs>
          <w:tab w:leader="none" w:pos="701" w:val="left"/>
        </w:tabs>
        <w:numPr>
          <w:ilvl w:val="0"/>
          <w:numId w:val="74"/>
        </w:numPr>
        <w:rPr>
          <w:rFonts w:ascii="Arial" w:cs="Arial" w:eastAsia="Arial" w:hAnsi="Arial"/>
          <w:sz w:val="18"/>
          <w:szCs w:val="18"/>
          <w:color w:val="auto"/>
        </w:rPr>
      </w:pPr>
      <w:r>
        <w:rPr>
          <w:rFonts w:ascii="Arial" w:cs="Arial" w:eastAsia="Arial" w:hAnsi="Arial"/>
          <w:sz w:val="18"/>
          <w:szCs w:val="18"/>
          <w:color w:val="auto"/>
        </w:rPr>
        <w:t>“cash transaction” means any transaction in which full payment for goods or securities sold is made within seven calendar days after delivery of the goods or securities in currency or in checks or other orders drawn upon banks or bankers and payable upon demand; and</w:t>
      </w:r>
    </w:p>
    <w:p>
      <w:pPr>
        <w:spacing w:after="0" w:line="170" w:lineRule="exact"/>
        <w:rPr>
          <w:rFonts w:ascii="Arial" w:cs="Arial" w:eastAsia="Arial" w:hAnsi="Arial"/>
          <w:sz w:val="18"/>
          <w:szCs w:val="18"/>
          <w:color w:val="auto"/>
        </w:rPr>
      </w:pPr>
    </w:p>
    <w:p>
      <w:pPr>
        <w:ind w:firstLine="464"/>
        <w:spacing w:after="0" w:line="297" w:lineRule="auto"/>
        <w:tabs>
          <w:tab w:leader="none" w:pos="711" w:val="left"/>
        </w:tabs>
        <w:numPr>
          <w:ilvl w:val="0"/>
          <w:numId w:val="74"/>
        </w:numPr>
        <w:rPr>
          <w:rFonts w:ascii="Arial" w:cs="Arial" w:eastAsia="Arial" w:hAnsi="Arial"/>
          <w:sz w:val="16"/>
          <w:szCs w:val="16"/>
          <w:color w:val="auto"/>
        </w:rPr>
      </w:pPr>
      <w:r>
        <w:rPr>
          <w:rFonts w:ascii="Arial" w:cs="Arial" w:eastAsia="Arial" w:hAnsi="Arial"/>
          <w:sz w:val="16"/>
          <w:szCs w:val="16"/>
          <w:color w:val="auto"/>
        </w:rPr>
        <w:t>“self-liquidating paper”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spacing w:after="0" w:line="158"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u w:val="single" w:color="auto"/>
          <w:color w:val="auto"/>
        </w:rPr>
        <w:t>Communications with the Trustee</w:t>
      </w:r>
      <w:r>
        <w:rPr>
          <w:rFonts w:ascii="Arial" w:cs="Arial" w:eastAsia="Arial" w:hAnsi="Arial"/>
          <w:sz w:val="16"/>
          <w:szCs w:val="16"/>
          <w:color w:val="auto"/>
        </w:rPr>
        <w:t>. Any and all notices, certificates, opinions or filings with the Commission required or permitted to be provided by the Company to the Trustee under this Indenture shall be in writing and shall be personally delivered, sent via an internationally recognized overnight delivery service or sent by facsimile or electronic transmission to the address or telecopy number of the Corporate Trust Office.</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Paying Agent/Registrar</w:t>
      </w:r>
      <w:r>
        <w:rPr>
          <w:rFonts w:ascii="Arial" w:cs="Arial" w:eastAsia="Arial" w:hAnsi="Arial"/>
          <w:sz w:val="18"/>
          <w:szCs w:val="18"/>
          <w:color w:val="auto"/>
        </w:rPr>
        <w:t>. If the Trustee is acting as Paying Agent and/or Registrar hereunder, the rights and protections afforded to the Trustee under this Article 6 will also be afforded to the Paying Agent and/or the Registrar.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CONCERNING THE HOLDERS</w:t>
      </w:r>
    </w:p>
    <w:p>
      <w:pPr>
        <w:spacing w:after="0" w:line="22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Evidence of Action Taken by Holders</w:t>
      </w:r>
      <w:r>
        <w:rPr>
          <w:rFonts w:ascii="Arial" w:cs="Arial" w:eastAsia="Arial" w:hAnsi="Arial"/>
          <w:sz w:val="16"/>
          <w:szCs w:val="16"/>
          <w:color w:val="auto"/>
        </w:rPr>
        <w:t>. Any request, demand, authorization, direction, notice, consent, waiver or other action provided by this Indenture to be given or taken by Holders of Securities of any series may be embodied in and evidenced (a) by one or more instruments of substantially similar tenor signed by such Holders in person or by agent duly appointed in writing, (b) by the record of the Holders of Securities of such series voting in favor thereof at any meeting of Holders duly called and held in accordance with the provisions of Article 8, or (c) by a combination of such instrument or instruments and any such record of such a meeting of Holders; and, except as herein otherwise expressly provided, such action shall become effective when such instrument or instruments are delivered to the Trustee and, where it is hereby expressly required, to the Company and each Guarantor, if any. Proof of execution of any instrument or of a writing appointing any such agent shall be sufficient for any purpose of this Indenture and (subject to Sections 6.01 and 6.02) conclusive in favor of the Trustee, the Company and each Guarantor, if any, if made in the manner provided in this Article.</w:t>
      </w:r>
    </w:p>
    <w:p>
      <w:pPr>
        <w:spacing w:after="0" w:line="16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Proof of Execution of Instruments and of Holding of Securities; Record Date</w:t>
      </w:r>
      <w:r>
        <w:rPr>
          <w:rFonts w:ascii="Arial" w:cs="Arial" w:eastAsia="Arial" w:hAnsi="Arial"/>
          <w:sz w:val="18"/>
          <w:szCs w:val="18"/>
          <w:color w:val="auto"/>
        </w:rPr>
        <w:t>. Subject to Sections 6.01 and 6.02, the execution of any instrument by a Holder or its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Company may set a record date for purposes of determining the identity of Holders of Securities entitled to vote or consent to any action referred to in Section 7.01, which record date may be set at any time or from time to time by notice to the Trustee, for any date or dates (in the case of any adjournment or resolicitation) not more than 90 calendar days nor less than 20 calendar days prior to the proposed date of such vote or consent, and thereafter, notwithstanding any other provisions hereof, only Holders of Securities of record on such record date shall be entitled to so vote or give such consent or to withdraw such vote or consent.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70" w:name="page71"/>
    <w:bookmarkEnd w:id="70"/>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7.03. </w:t>
      </w:r>
      <w:r>
        <w:rPr>
          <w:rFonts w:ascii="Arial" w:cs="Arial" w:eastAsia="Arial" w:hAnsi="Arial"/>
          <w:sz w:val="18"/>
          <w:szCs w:val="18"/>
          <w:u w:val="single" w:color="auto"/>
          <w:color w:val="auto"/>
        </w:rPr>
        <w:t>Who May Be Deemed Owners of Securities</w:t>
      </w:r>
      <w:r>
        <w:rPr>
          <w:rFonts w:ascii="Arial" w:cs="Arial" w:eastAsia="Arial" w:hAnsi="Arial"/>
          <w:sz w:val="18"/>
          <w:szCs w:val="18"/>
          <w:color w:val="auto"/>
        </w:rPr>
        <w:t>. The Company, each Guarantor, if any, the Trustee, any Paying Agent and any Registrar may deem and treat the person in whose name any Security of any series shall be registered in the Security Register on the applicable record date as the absolute owner of such Security (whether or not such Security shall be overdue and notwithstanding any notation of ownership or other writing thereon) for the purpose of receiving payment of or on account of the principal of (and premium, if any) and interest, if any, on such Security and for all other purposes; and none of the Company, any Guarantor, the Trustee, any Paying Agent or any Registrar shall be affected by any notice to the contrary. All such payments so made to, or upon the order of, any Holders shall be valid, and, to the extent of the sum or sums so paid, effectual to satisfy and discharge the liability of moneys payable upon any such Security.</w:t>
      </w:r>
    </w:p>
    <w:p>
      <w:pPr>
        <w:spacing w:after="0" w:line="18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u w:val="single" w:color="auto"/>
          <w:color w:val="auto"/>
        </w:rPr>
        <w:t>Securities Owned by Company Deemed Not Outstanding</w:t>
      </w:r>
      <w:r>
        <w:rPr>
          <w:rFonts w:ascii="Arial" w:cs="Arial" w:eastAsia="Arial" w:hAnsi="Arial"/>
          <w:sz w:val="16"/>
          <w:szCs w:val="16"/>
          <w:color w:val="auto"/>
        </w:rPr>
        <w:t>. In determining whether the Holders of the requisite aggregate Principal Amount of Securities of any series have concurred in any direction, consent or waiver under this Indenture, Securities of such series which are owned by the Company, any Guarantor with respect to such series or any other obligor on the Securities of such series or by any person directly or indirectly controlling or controlled by or under direct or indirect common control with the Company, any such Guarantor or any other obligor on the Securities of such series shall be disregarded and deemed not to be outstanding for the purpose of any such determination, except that for the purpose of determining whether the Trustee shall be protected in relying on any such direction, consent or waiver only Securities which a Responsible Officer of the Trustee actually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any Guarantor or any other obligor upon the Securities or any person directly or indirectly controlling or controlled by or under direct or indirect common control with the Company, any Guarantor or any other obligor on the Securities. In case of a dispute as to such right, the advice of counsel shall be full protection in respect of any decision made by the Trustee in accordance with such advice. Upon request of the Trustee, the Company shall furnish to the Trustee promptly an Officers’ Certificate listing and identifying all Securities of any series, if any, known by the Company to be owned or held by or for the account of any of the above-described persons; and, subject to Sections 6.01 and 6.02, the Trustee shall be entitled to accept such Officers’ Certificate as conclusive evidence of the facts therein set forth and of the fact that all Securities of such series not listed therein are outstanding for the purpose of any such determination.</w:t>
      </w:r>
    </w:p>
    <w:p>
      <w:pPr>
        <w:spacing w:after="0" w:line="17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Record Date for Action by Holders</w:t>
      </w:r>
      <w:r>
        <w:rPr>
          <w:rFonts w:ascii="Arial" w:cs="Arial" w:eastAsia="Arial" w:hAnsi="Arial"/>
          <w:sz w:val="18"/>
          <w:szCs w:val="18"/>
          <w:color w:val="auto"/>
        </w:rPr>
        <w:t>. Whenever in this Indenture it is provided that Holders of a specified percentage in aggregate principal amount of the Securities of any series may take any action (including the making of any demand or request, the giving of any direction, notice, consent or waiver or the taking of any other action), other than any action taken at a meeting of Holders of such series called pursuant to Article 8, the Company may, but shall not be obligated to, fix a record date, which need not be the date provided in TIA Section 316(c) to the extent it would otherwise be applicable, for the purpose of determining the Holders entitled to give their consent or take any other action described above or required or permitted to be taken pursuant to this Indenture. If a record date is fixed, then notwithstanding Section 7.06, those Persons who were Holders at such record date (or their duly designated proxies), and only those Persons, shall be entitled to give such consent or to revoke any consent previously given or to take any such action, whether or not such Persons continue to be Holders after such record date. No such consent shall be valid or effective for more than 90 days after such record date</w:t>
      </w:r>
    </w:p>
    <w:p>
      <w:pPr>
        <w:spacing w:after="0" w:line="19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u w:val="single" w:color="auto"/>
          <w:color w:val="auto"/>
        </w:rPr>
        <w:t>Right of Revocation of Action Taken</w:t>
      </w:r>
      <w:r>
        <w:rPr>
          <w:rFonts w:ascii="Arial" w:cs="Arial" w:eastAsia="Arial" w:hAnsi="Arial"/>
          <w:sz w:val="16"/>
          <w:szCs w:val="16"/>
          <w:color w:val="auto"/>
        </w:rPr>
        <w:t>. At any time prior to (but not after) the evidencing to the Trustee, as provided in Section 7.01, of the taking of any action by the Holders of the percentage in aggregate Principal Amount of the Securities of any series specified in this Indenture in connection with such action, any Holder of a Security the serial number of which is shown by the evidence to be included among the serial numbers of the Securities of the series the Holders of which have consented to such action may, by filing written notice at the Corporate Trust Office and upon proof of holding as provided in this Article 7,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irrespective of whether or not any notation in regard thereto is made upon any such Security. Any action taken by the Holders of the percentage in aggregate Principal Amount of the Securities of any series specified in this Indenture in connection with such action shall be conclusively binding upon the Company, each Guarantor with respect to such series, if any, the Trustee and the Holders of all the Securities of such series.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HOLDERS</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Purposes for Which Meeting May Be Called</w:t>
      </w:r>
      <w:r>
        <w:rPr>
          <w:rFonts w:ascii="Arial" w:cs="Arial" w:eastAsia="Arial" w:hAnsi="Arial"/>
          <w:sz w:val="18"/>
          <w:szCs w:val="18"/>
          <w:color w:val="auto"/>
        </w:rPr>
        <w:t>. A meeting of Holders of Securities of any series may be called at any time and from time to time pursuant to the provisions of this Article 8 for any of the following purposes:</w:t>
      </w:r>
    </w:p>
    <w:p>
      <w:pPr>
        <w:spacing w:after="0" w:line="170" w:lineRule="exact"/>
        <w:rPr>
          <w:sz w:val="20"/>
          <w:szCs w:val="20"/>
          <w:color w:val="auto"/>
        </w:rPr>
      </w:pPr>
    </w:p>
    <w:p>
      <w:pPr>
        <w:ind w:right="320" w:firstLine="464"/>
        <w:spacing w:after="0" w:line="264" w:lineRule="auto"/>
        <w:tabs>
          <w:tab w:leader="none" w:pos="701"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give any notice to the Company, any Guarantor or to the Trustee, or to give any directions to the Trustee, or to consent to the waiving of any Default or Event of Default with respect to the Securities of such series hereunder and its consequences, or take any other action authorized to be taken by Holders of such series pursuant to any of the provisions of Article 5;</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to remove the Trustee and appoint a successor trustee with respect to the Securities of such series pursuant to the provisions of Article 6;</w:t>
      </w:r>
    </w:p>
    <w:p>
      <w:pPr>
        <w:spacing w:after="0" w:line="236" w:lineRule="exact"/>
        <w:rPr>
          <w:rFonts w:ascii="Arial" w:cs="Arial" w:eastAsia="Arial" w:hAnsi="Arial"/>
          <w:sz w:val="17"/>
          <w:szCs w:val="17"/>
          <w:color w:val="auto"/>
        </w:rPr>
      </w:pPr>
    </w:p>
    <w:p>
      <w:pPr>
        <w:ind w:left="700" w:hanging="236"/>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consent to the execution of an indenture or indentures supplemental hereto pursuant to the provisions of Section 9.02; or</w:t>
      </w:r>
    </w:p>
    <w:p>
      <w:pPr>
        <w:spacing w:after="0" w:line="225" w:lineRule="exact"/>
        <w:rPr>
          <w:rFonts w:ascii="Arial" w:cs="Arial" w:eastAsia="Arial" w:hAnsi="Arial"/>
          <w:sz w:val="18"/>
          <w:szCs w:val="18"/>
          <w:color w:val="auto"/>
        </w:rPr>
      </w:pPr>
    </w:p>
    <w:p>
      <w:pPr>
        <w:ind w:right="200" w:firstLine="464"/>
        <w:spacing w:after="0" w:line="277" w:lineRule="auto"/>
        <w:tabs>
          <w:tab w:leader="none" w:pos="711"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take any other action authorized to be taken by or on behalf of the Holders of the percentage in aggregate Principal Amount of the Securities of such series under any other provisions of this Indenture or under applicable law.</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Manner of Calling Meetings; Record Date</w:t>
      </w:r>
      <w:r>
        <w:rPr>
          <w:rFonts w:ascii="Arial" w:cs="Arial" w:eastAsia="Arial" w:hAnsi="Arial"/>
          <w:sz w:val="16"/>
          <w:szCs w:val="16"/>
          <w:color w:val="auto"/>
        </w:rPr>
        <w:t>. The Trustee may at any time call a meeting of Holders of any series to take any action specified in Section 8.01, to be held at such time and at such place in [●], or as the Trustee shall determine. Notice of every meeting of Holders of any series setting forth the time and the place of such meeting and in general terms the action proposed to be taken at such meeting, shall be mailed not less than 30 nor more than 60 calendar days prior to the date fixed for the meeting to such Holders at their registered addresses. For the purpose of determining Holders entitled to notice of any meeting of Holders, the Trustee shall fix in advance a date as the record date for such determination, such date to be a Business Day not more than 10 calendar days prior to the date of the mailing of such notice as hereinabove provided. Only persons in whose name a Security of such series is registered upon the books of the Company on a record date fixed by the Trustee as aforesaid, or by the Company or the Holders as in Section 8.03 provided, shall be entitled to notice of the meeting of Holders with respect to which such record date was so fixed.</w:t>
      </w:r>
    </w:p>
    <w:p>
      <w:pPr>
        <w:spacing w:after="0" w:line="16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Call of Meeting by Company or Holders</w:t>
      </w:r>
      <w:r>
        <w:rPr>
          <w:rFonts w:ascii="Arial" w:cs="Arial" w:eastAsia="Arial" w:hAnsi="Arial"/>
          <w:sz w:val="16"/>
          <w:szCs w:val="16"/>
          <w:color w:val="auto"/>
        </w:rPr>
        <w:t>. In case at any time the Company or a Guarantor, if any, pursuant to a resolution of its Board of Directors, or the Holders of at least 10 percent in aggregate principal amount of the Securities of any series then outstanding, shall have requested the Trustee to call a meeting of the Holders of such series to take any action authorized in Section 8.01 by written request setting forth in reasonable detail the action proposed to be taken at the meeting, and the Trustee shall not have mailed notice of such meeting within 20 calendar days after receipt of such request, then the Company, any such Guarantor or the Holders of Securities of such series in the amount above specified may fix the record date with respect to, and determine the time and the place for, such meeting and may call such meeting to take any action authorized in Section 8.01, by mailing notice thereof as provided in Section 8.02. The record date fixed as provided in the preceding sentence shall be set forth in a written notice to the Trustee and shall be a Business Day not less than 15 nor more than 20 calendar days after the date on which such notice is sent to the Trustee.</w:t>
      </w:r>
    </w:p>
    <w:p>
      <w:pPr>
        <w:spacing w:after="0" w:line="166" w:lineRule="exact"/>
        <w:rPr>
          <w:sz w:val="20"/>
          <w:szCs w:val="20"/>
          <w:color w:val="auto"/>
        </w:rPr>
      </w:pPr>
    </w:p>
    <w:p>
      <w:pPr>
        <w:jc w:val="both"/>
        <w:ind w:right="40" w:firstLine="456"/>
        <w:spacing w:after="0" w:line="276"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u w:val="single" w:color="auto"/>
          <w:color w:val="auto"/>
        </w:rPr>
        <w:t>Who May Attend and Vote at Meeting</w:t>
      </w:r>
      <w:r>
        <w:rPr>
          <w:rFonts w:ascii="Arial" w:cs="Arial" w:eastAsia="Arial" w:hAnsi="Arial"/>
          <w:sz w:val="17"/>
          <w:szCs w:val="17"/>
          <w:color w:val="auto"/>
        </w:rPr>
        <w:t>. To be entitled to vote at any meeting of Holders of any series, a person shall be a Holder of one or more Securities of such series. The only persons who shall be entitled to be present or to speak at any meeting of Holders of any series shall be the persons entitled to vote at such meeting and their counsel, any representatives of the Trustee and its counsel, any representatives of the Company and its counsel, and any representatives of any Guarantor of such Securities and its counsel. When a determination of Holders entitled to vote at any meeting of Holders has been made as provided in this Section 8.04, such determination shall apply to any adjournment thereof.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72" w:name="page73"/>
    <w:bookmarkEnd w:id="72"/>
    <w:p>
      <w:pPr>
        <w:ind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8.05. </w:t>
      </w:r>
      <w:r>
        <w:rPr>
          <w:rFonts w:ascii="Arial" w:cs="Arial" w:eastAsia="Arial" w:hAnsi="Arial"/>
          <w:sz w:val="17"/>
          <w:szCs w:val="17"/>
          <w:u w:val="single" w:color="auto"/>
          <w:color w:val="auto"/>
        </w:rPr>
        <w:t>Regulations</w:t>
      </w:r>
      <w:r>
        <w:rPr>
          <w:rFonts w:ascii="Arial" w:cs="Arial" w:eastAsia="Arial" w:hAnsi="Arial"/>
          <w:sz w:val="17"/>
          <w:szCs w:val="17"/>
          <w:color w:val="auto"/>
        </w:rPr>
        <w:t>. Notwithstanding any other provisions of this Indenture, the Trustee may make such reasonable regulations as it may deem advisable for any meeting of Holders of any series, in regard to proof of the holding of the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 Except as otherwise permitted or required by any such regulations, the holding of the Securities of such series shall be provided in the manner specified in Section 8.06.</w:t>
      </w:r>
    </w:p>
    <w:p>
      <w:pPr>
        <w:spacing w:after="0" w:line="17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Trustee shall, by an instrument in writing, appoint a temporary chairman of the meeting, unless the meeting shall have been called by the Company or by Holders as provided in Section 8.03, in which case the Company or the Holders calling the meeting, as the case may be, shall in like manner appoint a temporary chairman. A permanent chairman and a permanent secretary of the meeting shall be elected by a vote of the Holders of a majority in Principal Amount of the Securities represented at the meeting and entitled to vote.</w:t>
      </w:r>
    </w:p>
    <w:p>
      <w:pPr>
        <w:spacing w:after="0" w:line="18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Subject to the provisions of Section 7.04, at any meeting each Holder or proxy entitled to vote thereat shall be entitled to one vote for each $1,000 principal amount of Securities of such series held or represented by him;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vote shall be cast or counted at any meeting in respect of any Security challenged as not outstanding and ruled by the chairman of the meeting to be not outstanding. The chairman of the meeting shall have no right to vote other than by virtue of Securities held by him or instruments in writing as aforesaid duly designating him as the person to vote on behalf of other Holders. Any meeting of Holders duly called pursuant to the provisions of Section 8.02 or 8.03 may be adjourned from time to time, and the meeting may be held as so adjourned without further notice.</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At any meeting of Holders of any series, the presence of persons who held, or who are acting as proxy for persons who held, an aggregate Principal Amount of Securities of such series on the record date for such meeting sufficient to take action on the business for the transaction of which such meeting was called shall constitute a quorum, but, if less than a quorum is present, the persons holding or representing a majority in aggregate Principal Amount of the Securities of such series represented at the meeting may adjourn such meeting with the same effect, for all intents and purposes, as though a quorum had been present.</w:t>
      </w:r>
    </w:p>
    <w:p>
      <w:pPr>
        <w:spacing w:after="0" w:line="18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Manner of Voting at Meetings and Record to be Kept</w:t>
      </w:r>
      <w:r>
        <w:rPr>
          <w:rFonts w:ascii="Arial" w:cs="Arial" w:eastAsia="Arial" w:hAnsi="Arial"/>
          <w:sz w:val="16"/>
          <w:szCs w:val="16"/>
          <w:color w:val="auto"/>
        </w:rPr>
        <w:t>. The vote upon any resolution submitted to any meeting of Holders of any series shall be by written ballots on each of which shall be subscribed the signature of the Holder or proxy casting such ballot and the identifying number or numbers of the Securities of such series held or represented in respect of which such ballot is cast.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8.02. The record shall show the identifying numbers of the Securities of such series voting in favor of or against any resolution. Each counterpart of such record shall be signed and verified by the affidavits of the permanent chairman and secretary of the meeting and one of the counterparts shall be delivered to the Company and the other to the Trustee to be preserved by the Trustee.</w:t>
      </w:r>
    </w:p>
    <w:p>
      <w:pPr>
        <w:spacing w:after="0" w:line="16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Any counterpart record so signed and verified shall be conclusive evidence of the matters therein stated and shall be the record referred to in clause (b) of Section 7.01.</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Exercise of Rights of Trustee and Holders Not to be Hindered or Delayed</w:t>
      </w:r>
      <w:r>
        <w:rPr>
          <w:rFonts w:ascii="Arial" w:cs="Arial" w:eastAsia="Arial" w:hAnsi="Arial"/>
          <w:sz w:val="18"/>
          <w:szCs w:val="18"/>
          <w:color w:val="auto"/>
        </w:rPr>
        <w:t>. Nothing in this Article 8 contained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of any series under any of the provisions of this Indenture or of the Securities of such series.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73" w:name="page74"/>
    <w:bookmarkEnd w:id="73"/>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9</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SUPPLEMENTAL INDENTURES</w:t>
      </w:r>
    </w:p>
    <w:p>
      <w:pPr>
        <w:spacing w:after="0" w:line="225" w:lineRule="exact"/>
        <w:rPr>
          <w:sz w:val="20"/>
          <w:szCs w:val="20"/>
          <w:color w:val="auto"/>
        </w:rPr>
      </w:pPr>
    </w:p>
    <w:p>
      <w:pPr>
        <w:ind w:right="800" w:firstLine="456"/>
        <w:spacing w:after="0" w:line="342"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Supplemental Indentures Without Consent of Holders</w:t>
      </w:r>
      <w:r>
        <w:rPr>
          <w:rFonts w:ascii="Arial" w:cs="Arial" w:eastAsia="Arial" w:hAnsi="Arial"/>
          <w:sz w:val="16"/>
          <w:szCs w:val="16"/>
          <w:color w:val="auto"/>
        </w:rPr>
        <w:t>. The Company, the Guarantors, if any, and the Trustee may amend or supplement this Indenture or the Securities of any series or waive any provision hereof or thereof without the consent of any Holder:</w:t>
      </w:r>
    </w:p>
    <w:p>
      <w:pPr>
        <w:spacing w:after="0" w:line="124" w:lineRule="exact"/>
        <w:rPr>
          <w:sz w:val="20"/>
          <w:szCs w:val="20"/>
          <w:color w:val="auto"/>
        </w:rPr>
      </w:pPr>
    </w:p>
    <w:p>
      <w:pPr>
        <w:ind w:firstLine="464"/>
        <w:spacing w:after="0" w:line="277" w:lineRule="auto"/>
        <w:tabs>
          <w:tab w:leader="none" w:pos="701"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 manner that does not, individually or in the aggregate with all other changes, adversely affect the rights of any Holder of the Securities of any series in any material respect;</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firstLine="464"/>
        <w:spacing w:after="0" w:line="277" w:lineRule="auto"/>
        <w:tabs>
          <w:tab w:leader="none" w:pos="701"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evidence the assumption of the obligations of the Company or a Guarantor to the Holders of the Securities in the case of any transaction pursuant to Article 10 hereof;</w:t>
      </w:r>
    </w:p>
    <w:p>
      <w:pPr>
        <w:spacing w:after="0" w:line="170" w:lineRule="exact"/>
        <w:rPr>
          <w:rFonts w:ascii="Arial" w:cs="Arial" w:eastAsia="Arial" w:hAnsi="Arial"/>
          <w:sz w:val="18"/>
          <w:szCs w:val="18"/>
          <w:color w:val="auto"/>
        </w:rPr>
      </w:pPr>
    </w:p>
    <w:p>
      <w:pPr>
        <w:ind w:right="300" w:firstLine="464"/>
        <w:spacing w:after="0" w:line="308" w:lineRule="auto"/>
        <w:tabs>
          <w:tab w:leader="none" w:pos="711" w:val="left"/>
        </w:tabs>
        <w:numPr>
          <w:ilvl w:val="0"/>
          <w:numId w:val="76"/>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hereunder by a successor trustee and to add to or change any of the provisions of the Indenture as shall be necessary to provide for or facilitate the administration of the trusts hereunder by more than one trustee;</w:t>
      </w:r>
    </w:p>
    <w:p>
      <w:pPr>
        <w:spacing w:after="0" w:line="146" w:lineRule="exact"/>
        <w:rPr>
          <w:rFonts w:ascii="Arial" w:cs="Arial" w:eastAsia="Arial" w:hAnsi="Arial"/>
          <w:sz w:val="17"/>
          <w:szCs w:val="17"/>
          <w:color w:val="auto"/>
        </w:rPr>
      </w:pPr>
    </w:p>
    <w:p>
      <w:pPr>
        <w:ind w:right="200" w:firstLine="464"/>
        <w:spacing w:after="0" w:line="277" w:lineRule="auto"/>
        <w:tabs>
          <w:tab w:leader="none" w:pos="701"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all or any series of Securities or that does not adversely affect the legal rights hereunder of any such Holder;</w:t>
      </w:r>
    </w:p>
    <w:p>
      <w:pPr>
        <w:spacing w:after="0" w:line="170" w:lineRule="exact"/>
        <w:rPr>
          <w:rFonts w:ascii="Arial" w:cs="Arial" w:eastAsia="Arial" w:hAnsi="Arial"/>
          <w:sz w:val="18"/>
          <w:szCs w:val="18"/>
          <w:color w:val="auto"/>
        </w:rPr>
      </w:pPr>
    </w:p>
    <w:p>
      <w:pPr>
        <w:ind w:left="680" w:hanging="216"/>
        <w:spacing w:after="0"/>
        <w:tabs>
          <w:tab w:leader="none" w:pos="6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to comply with requirements of the Commission in order to effect or maintain the qualification of this Indenture under the Trust Indenture Act;</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3.01;</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secure the Company’s obligations in respect of the Securities of any series;</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add an additional Guarantor in respect of the Securities of any series.</w:t>
      </w:r>
    </w:p>
    <w:p>
      <w:pPr>
        <w:spacing w:after="0" w:line="225" w:lineRule="exact"/>
        <w:rPr>
          <w:rFonts w:ascii="Arial" w:cs="Arial" w:eastAsia="Arial" w:hAnsi="Arial"/>
          <w:sz w:val="18"/>
          <w:szCs w:val="18"/>
          <w:color w:val="auto"/>
        </w:rPr>
      </w:pPr>
    </w:p>
    <w:p>
      <w:pPr>
        <w:ind w:right="20" w:firstLine="464"/>
        <w:spacing w:after="0" w:line="259" w:lineRule="auto"/>
        <w:tabs>
          <w:tab w:leader="none" w:pos="671"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case of convertible or exchangeable Securities of any series, subject to the provisions of the supplemental indenture for such series of Securities, to provide for conversion rights, exchange rights and/or repurchase rights of Holders of such series of Securities in connection with any reclassification or change of the Company’s common stock or in the event of any amalgamation, consolidation, merger or sale of all or substantially all of the assets of the Company or its Subsidiaries substantially as an entirety occurs;</w:t>
      </w:r>
    </w:p>
    <w:p>
      <w:pPr>
        <w:spacing w:after="0" w:line="186" w:lineRule="exact"/>
        <w:rPr>
          <w:rFonts w:ascii="Arial" w:cs="Arial" w:eastAsia="Arial" w:hAnsi="Arial"/>
          <w:sz w:val="18"/>
          <w:szCs w:val="18"/>
          <w:color w:val="auto"/>
        </w:rPr>
      </w:pPr>
    </w:p>
    <w:p>
      <w:pPr>
        <w:ind w:right="320" w:firstLine="464"/>
        <w:spacing w:after="0" w:line="277" w:lineRule="auto"/>
        <w:tabs>
          <w:tab w:leader="none" w:pos="711"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case of convertible or exchangeable Securities of any series, to reduce the conversion price or exchange price applicable to such series of Securities;</w:t>
      </w:r>
    </w:p>
    <w:p>
      <w:pPr>
        <w:spacing w:after="0" w:line="170" w:lineRule="exact"/>
        <w:rPr>
          <w:rFonts w:ascii="Arial" w:cs="Arial" w:eastAsia="Arial" w:hAnsi="Arial"/>
          <w:sz w:val="18"/>
          <w:szCs w:val="18"/>
          <w:color w:val="auto"/>
        </w:rPr>
      </w:pPr>
    </w:p>
    <w:p>
      <w:pPr>
        <w:jc w:val="both"/>
        <w:ind w:right="140" w:firstLine="464"/>
        <w:spacing w:after="0" w:line="264" w:lineRule="auto"/>
        <w:tabs>
          <w:tab w:leader="none" w:pos="671"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in the case of convertible or exchangeable Securities of any series, to increase the conversion rate or exchange ratio in the manner described in the supplemental indenture for such series of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increase will not adversely affect the interests of the Holders of the Securities of such series in any material respect; or</w:t>
      </w:r>
    </w:p>
    <w:p>
      <w:pPr>
        <w:spacing w:after="0" w:line="181" w:lineRule="exact"/>
        <w:rPr>
          <w:rFonts w:ascii="Arial" w:cs="Arial" w:eastAsia="Arial" w:hAnsi="Arial"/>
          <w:sz w:val="18"/>
          <w:szCs w:val="18"/>
          <w:color w:val="auto"/>
        </w:rPr>
      </w:pPr>
    </w:p>
    <w:p>
      <w:pPr>
        <w:ind w:right="300" w:firstLine="464"/>
        <w:spacing w:after="0" w:line="277" w:lineRule="auto"/>
        <w:tabs>
          <w:tab w:leader="none" w:pos="761"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other action to amend or supplement the Indenture or the Securities of any series as set forth in the supplemental indenture establishing the terms of the Securities of that series as provided in Section 3.01(b).</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Upon the request of the Company accompanied by a resolution of its Board of Directors authorizing the execution of any such supplemental indenture, and upon receipt by the Trustee of the documents described in Section 9.04 hereof, the Trustee shall join with the Company and the Guarantors, if any, in the execution of any supplemental indenture authorized or permitted by the terms of this Indenture and to make any further appropriate agreements and stipulations which may be therein contained, but the Trustee shall not be obligated to enter into such supplemental indenture which affects its own rights, duties or immunities under this Indenture or otherwise.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74" w:right="299" w:bottom="1440" w:gutter="0" w:footer="0" w:header="0"/>
        </w:sectPr>
      </w:pPr>
    </w:p>
    <w:bookmarkStart w:id="74" w:name="page75"/>
    <w:bookmarkEnd w:id="74"/>
    <w:p>
      <w:pPr>
        <w:ind w:right="2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9.02.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 Except as provided in the next succeeding paragraphs, this Indenture or the Securities may be amended or supplemented with the consent of the Holders of at least a majority in aggregate Principal Amount of all the Securities then outstanding affected by such supplemental indenture (acting as a single class).</w:t>
      </w:r>
    </w:p>
    <w:p>
      <w:pPr>
        <w:spacing w:after="0" w:line="18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Upon the request of the Company accompanied by a resolution of its Board of Directors authorizing the execution of any such supplemental indenture, and upon the filing with the Trustee of evidence satisfactory to the Trustee of the consent of the Holders as aforesaid, and upon receipt by the Trustee of the documents described in Section 9.04 hereof, the Trustee shall join with the Company and the Guarantors, if 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7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It shall not be necessary for the consent of the Holders under this Section 9.02 to approve the particular form of any proposed amendment or waiver, but it shall be sufficient if such consent approves the substance thereof.</w:t>
      </w:r>
    </w:p>
    <w:p>
      <w:pPr>
        <w:spacing w:after="0" w:line="17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After an amendment, supplement or waiver under this Section becomes effective, the Company shall mail to the Holders affected thereby a notice briefly describing the amendment, supplement or waiver. Any failure of the Company to mail such notice, or any defect therein, shall not, however, in any way impair or affect the validity of any such supplemental indenture or waiver. Subject to Sections 5.02(b), 5.04 and 5.07 hereof, the application of or compliance with, either generally or in a particular instance, of any provision of this Indenture or the Securities may be waived as to each series of Securities by the Holders of a majority in aggregate principal amount of the outstanding Securities of that series.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the consent of each Holder affected hereby, however, an amendment or waiver may not:</w:t>
      </w:r>
    </w:p>
    <w:p>
      <w:pPr>
        <w:spacing w:after="0" w:line="225" w:lineRule="exact"/>
        <w:rPr>
          <w:sz w:val="20"/>
          <w:szCs w:val="20"/>
          <w:color w:val="auto"/>
        </w:rPr>
      </w:pPr>
    </w:p>
    <w:p>
      <w:pPr>
        <w:ind w:left="700" w:hanging="236"/>
        <w:spacing w:after="0"/>
        <w:tabs>
          <w:tab w:leader="none" w:pos="7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reduce the percentage in Principal Amount of Securities of any series whose Holders must consent to an amendment, supplement or waiver;</w:t>
      </w:r>
    </w:p>
    <w:p>
      <w:pPr>
        <w:spacing w:after="0" w:line="236" w:lineRule="exact"/>
        <w:rPr>
          <w:rFonts w:ascii="Arial" w:cs="Arial" w:eastAsia="Arial" w:hAnsi="Arial"/>
          <w:sz w:val="17"/>
          <w:szCs w:val="17"/>
          <w:color w:val="auto"/>
        </w:rPr>
      </w:pPr>
    </w:p>
    <w:p>
      <w:pPr>
        <w:ind w:right="40" w:firstLine="464"/>
        <w:spacing w:after="0" w:line="279" w:lineRule="auto"/>
        <w:tabs>
          <w:tab w:leader="none" w:pos="711" w:val="left"/>
        </w:tabs>
        <w:numPr>
          <w:ilvl w:val="0"/>
          <w:numId w:val="77"/>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any installment of principal of or interest on, or time for payment of interest on, any Security, or reduce the Principal Amount thereof or the rate of interest thereon or any premium payable upon the redemption thereof, or change any Payment Office where, or the coin or currency in which, any Security or any premium or interest thereon is payable, or impair the right to institute suit for the enforcement of any such payment on or after the Stated Maturity thereof (or, in the case of redemption, on or after the redemption date);</w:t>
      </w:r>
    </w:p>
    <w:p>
      <w:pPr>
        <w:spacing w:after="0" w:line="171" w:lineRule="exact"/>
        <w:rPr>
          <w:rFonts w:ascii="Arial" w:cs="Arial" w:eastAsia="Arial" w:hAnsi="Arial"/>
          <w:sz w:val="17"/>
          <w:szCs w:val="17"/>
          <w:color w:val="auto"/>
        </w:rPr>
      </w:pPr>
    </w:p>
    <w:p>
      <w:pPr>
        <w:ind w:firstLine="464"/>
        <w:spacing w:after="0" w:line="257" w:lineRule="auto"/>
        <w:tabs>
          <w:tab w:leader="none" w:pos="701"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9.02, Section 5.04 or Section 4.06, except to increase the percentage in Principal Amount of Holders required under any such Section or to provide that certain other provisions of this Indenture cannot be modified or waived without the consent of the Holder of each outstanding Security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(c) will not be deemed to require the consent of any Holder with respect to changes in the references to “the Trustee” and concomitant changes in this Section 9.02, Section 5.02(b), Section 5.04 and Section 4.06, or the deletion of this proviso, in accordance with the requirements of Section 6.11;</w:t>
      </w:r>
    </w:p>
    <w:p>
      <w:pPr>
        <w:spacing w:after="0" w:line="188"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77"/>
        </w:numPr>
        <w:rPr>
          <w:rFonts w:ascii="Arial" w:cs="Arial" w:eastAsia="Arial" w:hAnsi="Arial"/>
          <w:sz w:val="18"/>
          <w:szCs w:val="18"/>
          <w:color w:val="auto"/>
        </w:rPr>
      </w:pPr>
      <w:r>
        <w:rPr>
          <w:rFonts w:ascii="Arial" w:cs="Arial" w:eastAsia="Arial" w:hAnsi="Arial"/>
          <w:sz w:val="18"/>
          <w:szCs w:val="18"/>
          <w:color w:val="auto"/>
        </w:rPr>
        <w:t>impair the rights of Holders of the Securities of any series that are exchangeable or convertible to receive payment or delivery of any consideration due upon the conversion or exchange of the Securities of that series;</w:t>
      </w:r>
    </w:p>
    <w:p>
      <w:pPr>
        <w:spacing w:after="0" w:line="170" w:lineRule="exact"/>
        <w:rPr>
          <w:rFonts w:ascii="Arial" w:cs="Arial" w:eastAsia="Arial" w:hAnsi="Arial"/>
          <w:sz w:val="18"/>
          <w:szCs w:val="18"/>
          <w:color w:val="auto"/>
        </w:rPr>
      </w:pPr>
    </w:p>
    <w:p>
      <w:pPr>
        <w:ind w:right="500" w:firstLine="464"/>
        <w:spacing w:after="0" w:line="264" w:lineRule="auto"/>
        <w:tabs>
          <w:tab w:leader="none" w:pos="701"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change in any manner adverse to the interests of the Holders of any outstanding Securities the terms and conditions of the obligations of the Guarantors, if applicable, in respect of the due and punctual payment of the principal thereof (and premium, if any, thereon) and interest thereon or any additional amounts or any sinking fund or analogous payments provided in respect thereof; or</w:t>
      </w:r>
    </w:p>
    <w:p>
      <w:pPr>
        <w:spacing w:after="0" w:line="181" w:lineRule="exact"/>
        <w:rPr>
          <w:rFonts w:ascii="Arial" w:cs="Arial" w:eastAsia="Arial" w:hAnsi="Arial"/>
          <w:sz w:val="18"/>
          <w:szCs w:val="18"/>
          <w:color w:val="auto"/>
        </w:rPr>
      </w:pPr>
    </w:p>
    <w:p>
      <w:pPr>
        <w:ind w:right="100" w:firstLine="464"/>
        <w:spacing w:after="0" w:line="277" w:lineRule="auto"/>
        <w:tabs>
          <w:tab w:leader="none" w:pos="681" w:val="left"/>
        </w:tabs>
        <w:numPr>
          <w:ilvl w:val="0"/>
          <w:numId w:val="77"/>
        </w:numPr>
        <w:rPr>
          <w:rFonts w:ascii="Arial" w:cs="Arial" w:eastAsia="Arial" w:hAnsi="Arial"/>
          <w:sz w:val="18"/>
          <w:szCs w:val="18"/>
          <w:color w:val="auto"/>
        </w:rPr>
      </w:pPr>
      <w:r>
        <w:rPr>
          <w:rFonts w:ascii="Arial" w:cs="Arial" w:eastAsia="Arial" w:hAnsi="Arial"/>
          <w:sz w:val="18"/>
          <w:szCs w:val="18"/>
          <w:color w:val="auto"/>
        </w:rPr>
        <w:t>modify or amend any of the provisions of the Indenture or Securities of any series as may be set forth in the supplemental indenture with respect to the Securities of that series as requiring the consent of each Holder affected thereby.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75" w:name="page76"/>
    <w:bookmarkEnd w:id="75"/>
    <w:p>
      <w:pPr>
        <w:ind w:right="12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9.03. </w:t>
      </w:r>
      <w:r>
        <w:rPr>
          <w:rFonts w:ascii="Arial" w:cs="Arial" w:eastAsia="Arial" w:hAnsi="Arial"/>
          <w:sz w:val="17"/>
          <w:szCs w:val="17"/>
          <w:u w:val="single" w:color="auto"/>
          <w:color w:val="auto"/>
        </w:rPr>
        <w:t>Effect of Supplemental Indenture</w:t>
      </w:r>
      <w:r>
        <w:rPr>
          <w:rFonts w:ascii="Arial" w:cs="Arial" w:eastAsia="Arial" w:hAnsi="Arial"/>
          <w:sz w:val="17"/>
          <w:szCs w:val="17"/>
          <w:color w:val="auto"/>
        </w:rPr>
        <w:t>.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Company, each Guarantor, if 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Documents to Be Given to Trustee; Compliance with TIA</w:t>
      </w:r>
      <w:r>
        <w:rPr>
          <w:rFonts w:ascii="Arial" w:cs="Arial" w:eastAsia="Arial" w:hAnsi="Arial"/>
          <w:sz w:val="18"/>
          <w:szCs w:val="18"/>
          <w:color w:val="auto"/>
        </w:rPr>
        <w:t>. The Trustee, subject to the provisions of Sections 6.01 and 6.02, shall be entitled to receive and conclusively rely upon an Officers’ Certificate and an Opinion of Counsel as conclusive evidence that any such supplemental indenture is permitted or authorized under and otherwise complies with the applicable provisions of this Indenture. Every such supplemental indenture shall comply with the TIA.</w:t>
      </w:r>
    </w:p>
    <w:p>
      <w:pPr>
        <w:spacing w:after="0" w:line="187" w:lineRule="exact"/>
        <w:rPr>
          <w:sz w:val="20"/>
          <w:szCs w:val="20"/>
          <w:color w:val="auto"/>
        </w:rPr>
      </w:pPr>
    </w:p>
    <w:p>
      <w:pPr>
        <w:ind w:right="240" w:firstLine="456"/>
        <w:spacing w:after="0" w:line="293"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Notation on Securities in Respect of Supplemental Indentures</w:t>
      </w:r>
      <w:r>
        <w:rPr>
          <w:rFonts w:ascii="Arial" w:cs="Arial" w:eastAsia="Arial" w:hAnsi="Arial"/>
          <w:sz w:val="16"/>
          <w:szCs w:val="16"/>
          <w:color w:val="auto"/>
        </w:rPr>
        <w:t>. Securities authenticated and delivered after the execution of any supplemental indenture pursuant to the provisions of this Article may bear a notation approved by the Trustee as to form (but not as to substance) as to any matter provided for by such supplemental indenture or as to any action taken at any such meeting. If the Company, any applicable Guarantor or the Trustee shall so determine, new Securities of any series so modified as to conform, in the opinion of the Trustee and the Board of Directors of the Company, to any modification of this Indenture contained in any such supplemental indenture may be prepared by the Company, endorsed by any such Guarantor, authenticated by the Trustee and delivered in exchange for the Securities of such series then outstanding.</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CONSOLIDATION, MERGER OR SALE OF ASSETS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When the Company May Merge, Etc</w:t>
      </w:r>
      <w:r>
        <w:rPr>
          <w:rFonts w:ascii="Arial" w:cs="Arial" w:eastAsia="Arial" w:hAnsi="Arial"/>
          <w:sz w:val="18"/>
          <w:szCs w:val="18"/>
          <w:color w:val="auto"/>
        </w:rPr>
        <w:t>. The Company shall not consolidate with or merge with or into, or sell, transfer, lease, convey or otherwise dispose of all or substantially all of its assets to, another Person (including pursuant to a statutory arrangement), whether in a single transaction or series of related transactions, unless:</w:t>
      </w:r>
    </w:p>
    <w:p>
      <w:pPr>
        <w:spacing w:after="0" w:line="181" w:lineRule="exact"/>
        <w:rPr>
          <w:sz w:val="20"/>
          <w:szCs w:val="20"/>
          <w:color w:val="auto"/>
        </w:rPr>
      </w:pPr>
    </w:p>
    <w:p>
      <w:pPr>
        <w:ind w:right="20" w:firstLine="464"/>
        <w:spacing w:after="0" w:line="257" w:lineRule="auto"/>
        <w:tabs>
          <w:tab w:leader="none" w:pos="70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is the surviving entity or the Person formed by or surviving any such consolidation or merger or to which such sale, transfer, lease, conveyance or other disposition is made shall be a Person organized and existing under the laws of the United States of America or any State or the District of Columbia, and shall expressly assume, by an indenture supplemental hereto, executed and delivered to the Trustee, the due and punctual payment of the principal of (and premium, if any) and interest, if any, on all the Securities and the performance or observance of every covenant of this Indenture of the part of the Company to be performed or observed;</w:t>
      </w:r>
    </w:p>
    <w:p>
      <w:pPr>
        <w:spacing w:after="0" w:line="188" w:lineRule="exact"/>
        <w:rPr>
          <w:rFonts w:ascii="Arial" w:cs="Arial" w:eastAsia="Arial" w:hAnsi="Arial"/>
          <w:sz w:val="18"/>
          <w:szCs w:val="18"/>
          <w:color w:val="auto"/>
        </w:rPr>
      </w:pPr>
    </w:p>
    <w:p>
      <w:pPr>
        <w:ind w:right="20" w:firstLine="464"/>
        <w:spacing w:after="0" w:line="277" w:lineRule="auto"/>
        <w:tabs>
          <w:tab w:leader="none" w:pos="711" w:val="left"/>
        </w:tabs>
        <w:numPr>
          <w:ilvl w:val="0"/>
          <w:numId w:val="7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which, after notice or lapse of time, or both, would become an Event of Default, shall have happened and be continuing; and</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Company has delivered to the Trustee an Officers’ Certificate and an Opinion of Counsel each stating that such consolidation, merger,</w:t>
      </w:r>
    </w:p>
    <w:p>
      <w:pPr>
        <w:spacing w:after="0" w:line="34" w:lineRule="exact"/>
        <w:rPr>
          <w:rFonts w:ascii="Arial" w:cs="Arial" w:eastAsia="Arial" w:hAnsi="Arial"/>
          <w:sz w:val="17"/>
          <w:szCs w:val="17"/>
          <w:color w:val="auto"/>
        </w:rPr>
      </w:pPr>
    </w:p>
    <w:p>
      <w:pPr>
        <w:ind w:right="60"/>
        <w:spacing w:after="0" w:line="261" w:lineRule="auto"/>
        <w:rPr>
          <w:rFonts w:ascii="Arial" w:cs="Arial" w:eastAsia="Arial" w:hAnsi="Arial"/>
          <w:sz w:val="17"/>
          <w:szCs w:val="17"/>
          <w:color w:val="auto"/>
        </w:rPr>
      </w:pPr>
      <w:r>
        <w:rPr>
          <w:rFonts w:ascii="Arial" w:cs="Arial" w:eastAsia="Arial" w:hAnsi="Arial"/>
          <w:sz w:val="18"/>
          <w:szCs w:val="18"/>
          <w:color w:val="auto"/>
        </w:rPr>
        <w:t>conveyance or transfer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84"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Successor Person Substituted</w:t>
      </w:r>
      <w:r>
        <w:rPr>
          <w:rFonts w:ascii="Arial" w:cs="Arial" w:eastAsia="Arial" w:hAnsi="Arial"/>
          <w:sz w:val="17"/>
          <w:szCs w:val="17"/>
          <w:color w:val="auto"/>
        </w:rPr>
        <w:t>. Upon any consolidation or merger, or any sale, transfer, lease, conveyance or other disposition of all or substantially all of the assets of the Company in accordance with Section 10.01 hereof, the successor Person formed by such consolidation or into or with which the Company is merged or to which such sale, transfer, lease, conveyance or other disposition is made shall succeed to, and, except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76" w:name="page77"/>
    <w:bookmarkEnd w:id="76"/>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 lease, be substituted for (so that from and after the date of such consolidation, merger, sale, transfer, conveyance or other disposition, the provisions of this Indenture referring to the “Company” shall refer instead to the successor Person), and may exercise every right and power of, the Company under this Indenture with the same effect as if such successor Person had been named as the Company herein.</w:t>
      </w:r>
    </w:p>
    <w:p>
      <w:pPr>
        <w:spacing w:after="0" w:line="166"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case of any such consolidation, merger, sale, transfer, lease, conveyance or other disposition such changes in phraseology and form (but not in substance) may be made in the Securities thereafter to be issued as may be appropriate. Notwithstanding the foregoing, (i) a consolidation or merger by the Company with or into, or (ii) the sale, transfer, lease, conveyance or other disposition by the Company of all or substantially all of its assets to, one or more of its Subsidiaries shall not relieve the Company from its obligations under this Indenture and the Securities.</w:t>
      </w:r>
    </w:p>
    <w:p>
      <w:pPr>
        <w:spacing w:after="0" w:line="17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Opinion of Counsel to Trustee</w:t>
      </w:r>
      <w:r>
        <w:rPr>
          <w:rFonts w:ascii="Arial" w:cs="Arial" w:eastAsia="Arial" w:hAnsi="Arial"/>
          <w:sz w:val="18"/>
          <w:szCs w:val="18"/>
          <w:color w:val="auto"/>
        </w:rPr>
        <w:t>. The Trustee, subject to the provisions of Sections 6.01 and 6.02, may receive an Opinion of Counsel as conclusive evidence that any such consolidation, merger, sale, transfer, lease, conveyance or other disposition complies with the applicable provisions of this Indenture.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 OF SECURITIES</w:t>
      </w:r>
    </w:p>
    <w:p>
      <w:pPr>
        <w:spacing w:after="0" w:line="225"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Applicability of Article</w:t>
      </w:r>
      <w:r>
        <w:rPr>
          <w:rFonts w:ascii="Arial" w:cs="Arial" w:eastAsia="Arial" w:hAnsi="Arial"/>
          <w:sz w:val="16"/>
          <w:szCs w:val="16"/>
          <w:color w:val="auto"/>
        </w:rPr>
        <w:t>. 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24" w:lineRule="exact"/>
        <w:rPr>
          <w:sz w:val="20"/>
          <w:szCs w:val="20"/>
          <w:color w:val="auto"/>
        </w:rPr>
      </w:pPr>
    </w:p>
    <w:p>
      <w:pPr>
        <w:ind w:right="420" w:firstLine="456"/>
        <w:spacing w:after="0" w:line="291"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u w:val="single" w:color="auto"/>
          <w:color w:val="auto"/>
        </w:rPr>
        <w:t>Notice of Redemption; Partial Redemptions</w:t>
      </w:r>
      <w:r>
        <w:rPr>
          <w:rFonts w:ascii="Arial" w:cs="Arial" w:eastAsia="Arial" w:hAnsi="Arial"/>
          <w:sz w:val="16"/>
          <w:szCs w:val="16"/>
          <w:color w:val="auto"/>
        </w:rPr>
        <w:t>. Notice of redemption to the Holders of Securities of any series to be redeemed as a whole or in part shall be given by mailing notice of such redemption by first class mail, postage prepaid, at least 30 calendar days and not more than</w:t>
      </w:r>
    </w:p>
    <w:p>
      <w:pPr>
        <w:ind w:right="120"/>
        <w:spacing w:after="0" w:line="254" w:lineRule="auto"/>
        <w:rPr>
          <w:sz w:val="20"/>
          <w:szCs w:val="20"/>
          <w:color w:val="auto"/>
        </w:rPr>
      </w:pPr>
      <w:r>
        <w:rPr>
          <w:rFonts w:ascii="Arial" w:cs="Arial" w:eastAsia="Arial" w:hAnsi="Arial"/>
          <w:sz w:val="18"/>
          <w:szCs w:val="18"/>
          <w:color w:val="auto"/>
        </w:rPr>
        <w:t>60 calendar days prior to the date fixed for redemption to such Holders of Securities at their last addresses as they shall appear upon the registry books. Any notice which is mailed in the manner herein provided shall be conclusively presumed to have been duly given, whether or not the Holder receives the notice. Failure to give notice by mail, or any defect in the notice to the Holder of any Security designated for redemption as a whole or in part shall not affect the validity of the proceedings for the redemption of any other Security.</w:t>
      </w:r>
    </w:p>
    <w:p>
      <w:pPr>
        <w:spacing w:after="0" w:line="1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notice of redemption to each such Holder shall identify the Securities to be redeemed (including CUSIP numbers) and shall specify the Principal Amount of each Security held by such Holder to be redeemed, the date fixed for redemption, the redemption price, the place or places of payment, that payment will be made upon presentation and surrender of such Securities, that interest accrued to the date fixed for redemption will be paid as specified in said notice and that on and after said date interest thereon or on the portions thereof to be redeemed will cease to accrue. In case any Security is to be redeemed in part only the notice of redemption shall state the portion of the Principal Amount thereof to be redeemed and shall state that on and after the date fixed for redemption, upon surrender of such Security, a new Security or Securities in Principal Amount equal to the unredeemed portion thereof will be issued.</w:t>
      </w:r>
    </w:p>
    <w:p>
      <w:pPr>
        <w:spacing w:after="0" w:line="18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notice of redemption of Securities of any series to be redeemed at the option of the Company shall be given by the Company or, at the Company’s request, by the Trustee in the name and at the expense of the Company.</w:t>
      </w:r>
    </w:p>
    <w:p>
      <w:pPr>
        <w:spacing w:after="0" w:line="170"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No later than 10:00 a.m. New York City time on the redemption date specified in the notice of redemption given as provided in this Section, the Company will deposit with the Trustee or with one or more Paying Agents (or, if the Company is acting as its own Paying Agent, set aside, segregate and hold in trust) an amount of money sufficient to redeem on the redemption date all the Securities of a series so called for redemption at the appropriate redemption price, together with accrued interest to the date fixed for redemption. The Company will deliver to the Trustee at least 30 calendar days prior to the date fixed for redemption an Officers’ Certificate stating the aggregate Principal Amount of Securities of such series to be redeemed.</w:t>
      </w:r>
    </w:p>
    <w:p>
      <w:pPr>
        <w:spacing w:after="0" w:line="15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If less than all the Securities of a series are to be redeemed, the Trustee shall select, either pro rata, by lot or by any other method it shall deem fair and reasonable, Securities to be redeemed in whole or in part. Securities may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77" w:name="page78"/>
    <w:bookmarkEnd w:id="77"/>
    <w:p>
      <w:pPr>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redeemed in part only in denominations equal to the minimum authorized denomination for Securities of that series or any integral multiple thereof. The Trustee shall promptly notify the Company in writing of the Securities selected for redemption and, in the case of any Securities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88"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u w:val="single" w:color="auto"/>
          <w:color w:val="auto"/>
        </w:rPr>
        <w:t>Payment of Securities Called for Redemption</w:t>
      </w:r>
      <w:r>
        <w:rPr>
          <w:rFonts w:ascii="Arial" w:cs="Arial" w:eastAsia="Arial" w:hAnsi="Arial"/>
          <w:sz w:val="17"/>
          <w:szCs w:val="17"/>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but not including, the date fixed for redemption, and on and after said date (unless the Company and any Guarantors shall default in the payment of such Securities at the redemption price, together with interest accrued to said date) interest on the Securities or portions of Securities so called for redemption shall cease to accrue and, except as provided in Sections 6.05 and 12.06,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Payment Office specified in said notice, said Securities or the specified portions thereof shall be paid and redeemed by the Company at the applicable redemption price, together with interest accrued thereon to, but not including, the date fixed for redemption;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payment of interest becoming due on the date fixed for redemption shall be payable to the Holders of such Securities registered as such on the relevant Regular Record Date subject to the terms and provisions of Section 3.05 hereof.</w:t>
      </w:r>
    </w:p>
    <w:p>
      <w:pPr>
        <w:spacing w:after="0" w:line="18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shall, until paid or duly provided for, bear interest from the date fixed for redemption at the rate borne by the Security.</w:t>
      </w:r>
    </w:p>
    <w:p>
      <w:pPr>
        <w:spacing w:after="0" w:line="170"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Upon presentation of any Securities redeemed in part only, the Company shall execute, the Guarantors, if any, shall, execute the Guarantees endorsed thereon, and the Trustee shall authenticate and make available for delivery to or on the order of the Holder thereof, at the expense of the Company, new Securities of authorized denominations, in Principal Amount equal to the unredeemed portion of the Securities so presented.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DEFEASANCE AND COVENANT DEFEASANCE</w:t>
      </w:r>
    </w:p>
    <w:p>
      <w:pPr>
        <w:spacing w:after="0" w:line="22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Applicability of the Article; Company’s Option to Effect Defeasance or Covenant Defeasance</w:t>
      </w:r>
      <w:r>
        <w:rPr>
          <w:rFonts w:ascii="Arial" w:cs="Arial" w:eastAsia="Arial" w:hAnsi="Arial"/>
          <w:sz w:val="18"/>
          <w:szCs w:val="18"/>
          <w:color w:val="auto"/>
        </w:rPr>
        <w:t>. Unless pursuant to Section 3.01 provision is made for the inapplicability of either or both of (a) defeasance of the Securities of a series under Section 12.02 or (b) covenant defeasance of the Securities of a series under Section 12.03, then the provisions of such Section or Sections, as the case may be, together with the other provisions of this Article, shall be applicable to the Securities of such series, and the Company may, at its option, by resolution of its Board of Directors, at any time, elect to have either Section 12.02 or Section 12.03 applied to the outstanding Securities of a series upon compliance with the conditions set forth below in this Article 12.</w:t>
      </w:r>
    </w:p>
    <w:p>
      <w:pPr>
        <w:spacing w:after="0" w:line="19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u w:val="single" w:color="auto"/>
          <w:color w:val="auto"/>
        </w:rPr>
        <w:t>Legal Defeasance and Discharge</w:t>
      </w:r>
      <w:r>
        <w:rPr>
          <w:rFonts w:ascii="Arial" w:cs="Arial" w:eastAsia="Arial" w:hAnsi="Arial"/>
          <w:sz w:val="16"/>
          <w:szCs w:val="16"/>
          <w:color w:val="auto"/>
        </w:rPr>
        <w:t>. Upon the Company’s exercise of the option provided under Section 12.01 hereof to defease the outstanding Securities of a particular series under this Section 12.02, the Company and any Guarantors shall be deemed to have been discharged from its obligations with respect to such outstanding Securities and related Guarantees on the date the conditions set forth below are satisfied (hereinafter, “Legal Defeasance”). For this purpose, such Legal Defeasance means that the Company shall be deemed to have paid and discharged the entire indebtedness represented by the outstanding Securities of such series, which shall thereafter be deemed to be “outstanding” only for the purposes of Section 12.05 hereof and the other Sections of this Indenture referred to in clauses (i) and (ii) of this Section 12.02, and to have satisfied all its other obligations under such Securities and this Indenture (and the Trustee, on demand of and at the expense of the Company shall execute proper instruments acknowledging the same), except for the following provisions which shall survive until otherwise terminated or discharged hereunder: (i) the rights of Holders of outstanding Securities of such series to receive solely from the trust fund described in Section 12.04 hereof, and as more fully set forth 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78" w:name="page79"/>
    <w:bookmarkEnd w:id="78"/>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Section, payments in respect of the principal of (and premium, if any) and interest, if any, on such Securities when such payments are due, (ii) the obligations of the Company or any Guarantor with respect to such Securities under Sections 3.06, 3.07, 3.08(a), 3.09, 3.11, and 12.05 hereof, (iii) the rights, powers, trusts, duties and immunities of the Trustee hereunder, including, without limitation, the Trustee’s rights under Section 6.07 hereof, and the obligations of the Company or any Guarantor in connection therewith and with this Article 12. Subject to compliance with this Article 12, the Company may exercise its option under this Section 12.02 notwithstanding the prior exercise of its option under Section 12.03 hereof with respect to the Securities of such series.</w:t>
      </w:r>
    </w:p>
    <w:p>
      <w:pPr>
        <w:spacing w:after="0" w:line="193"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SECTION 12.03. </w:t>
      </w:r>
      <w:r>
        <w:rPr>
          <w:rFonts w:ascii="Arial" w:cs="Arial" w:eastAsia="Arial" w:hAnsi="Arial"/>
          <w:sz w:val="17"/>
          <w:szCs w:val="17"/>
          <w:u w:val="single" w:color="auto"/>
          <w:color w:val="auto"/>
        </w:rPr>
        <w:t>Covenant Defeasance</w:t>
      </w:r>
      <w:r>
        <w:rPr>
          <w:rFonts w:ascii="Arial" w:cs="Arial" w:eastAsia="Arial" w:hAnsi="Arial"/>
          <w:sz w:val="17"/>
          <w:szCs w:val="17"/>
          <w:color w:val="auto"/>
        </w:rPr>
        <w:t>. Upon the Company’s exercise of the option provided under Section 12.01 hereof to obtain a covenant defeasance with respect to the outstanding Securities of a particular series under this Section 12.03, the Company and any Guarantors shall be released from their obligations under the covenants contained in Article 4 and Section 10.01 hereof and the covenants contained in any supplemental indenture applicable to such series, with respect to the outstanding Securities of such series on and after the date the conditions set forth below are satisfied (hereinafter, “Covenant Defeasance”), and the Securities of such series shall thereafter be deemed not outstanding for the purposes of any direction, waiver, consent or declaration or act of Holders (and the consequences of any thereof) in connection with such covenants, but shall continue to be deemed outstanding for all other purposes hereunder. For this purpose, such Covenant Defeasance means that, with respect to the outstanding Securities of such series, the Company or any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5.01(c) or Section 5.01(g) with respect to outstanding Securities of such series, but, except as specified above, the remainder of this Indenture and of the Securities of such series shall be unaffected thereby.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12.04. </w:t>
      </w:r>
      <w:r>
        <w:rPr>
          <w:rFonts w:ascii="Arial" w:cs="Arial" w:eastAsia="Arial" w:hAnsi="Arial"/>
          <w:sz w:val="17"/>
          <w:szCs w:val="17"/>
          <w:u w:val="single" w:color="auto"/>
          <w:color w:val="auto"/>
        </w:rPr>
        <w:t>Conditions to Legal or Covenant Defeasance</w:t>
      </w:r>
      <w:r>
        <w:rPr>
          <w:rFonts w:ascii="Arial" w:cs="Arial" w:eastAsia="Arial" w:hAnsi="Arial"/>
          <w:sz w:val="17"/>
          <w:szCs w:val="17"/>
          <w:color w:val="auto"/>
        </w:rPr>
        <w:t>. The following shall be the conditions to the application of either Section 12.02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12.03 hereof to the outstanding Securities of a particular series:</w:t>
      </w:r>
    </w:p>
    <w:p>
      <w:pPr>
        <w:spacing w:after="0" w:line="211" w:lineRule="exact"/>
        <w:rPr>
          <w:sz w:val="20"/>
          <w:szCs w:val="20"/>
          <w:color w:val="auto"/>
        </w:rPr>
      </w:pPr>
    </w:p>
    <w:p>
      <w:pPr>
        <w:ind w:right="200" w:firstLine="464"/>
        <w:spacing w:after="0" w:line="289" w:lineRule="auto"/>
        <w:tabs>
          <w:tab w:leader="none" w:pos="701"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Company shall irrevocably have deposited or caused to be deposited with the Trustee (or another trustee satisfying the requirements of Section 6.09 who shall agree to comply with the provisions of this Article 12 applicable to it) as trust funds in trust for the purpose of making the following payments, specifically pledged as security for, and dedicated solely to, the benefit of the Holders of such Securities, (i) an amount (in such currency, currencies or currency unit in which such Securities and any related coupons are then specified as payable at Stated Maturity), or (ii) non-callable Government Securities that through the scheduled payment of principal and interest in respect thereof in accordance with their terms will provide, not later than one day before the due date of any payment, cash in Dollars in an amount, or (iii) a combination thereof, in such amounts as will be sufficient, in the opinion of a nationally recognized firm of independent public accountants expressed in a written certification thereof delivered to the Trustee, to pay and discharge and which shall be applied by the Trustee (or other qualifying trustee) to pay and discharge the principal of (and premium, if any) and interest, if any, on such outstanding Securities on the stated maturity date of such principal or installment of principal, or interest or premium, if any.</w:t>
      </w:r>
    </w:p>
    <w:p>
      <w:pPr>
        <w:spacing w:after="0" w:line="166" w:lineRule="exact"/>
        <w:rPr>
          <w:rFonts w:ascii="Arial" w:cs="Arial" w:eastAsia="Arial" w:hAnsi="Arial"/>
          <w:sz w:val="16"/>
          <w:szCs w:val="16"/>
          <w:color w:val="auto"/>
        </w:rPr>
      </w:pPr>
    </w:p>
    <w:p>
      <w:pPr>
        <w:ind w:firstLine="464"/>
        <w:spacing w:after="0" w:line="255" w:lineRule="auto"/>
        <w:tabs>
          <w:tab w:leader="none" w:pos="711"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case of an election under Section 12.02 hereof, the Company shall have delivered to the Trustee an Opinion of Counsel confirming that (i) the Company has received from, or there has been published by, the Internal Revenue Service a ruling or (ii) since the date hereof, there has been a change in the applicable federal income tax law, in either case to the effect that, and based thereon such Opinion of Counsel shall confirm that, the Holders of the outstanding Securities of such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93" w:lineRule="exact"/>
        <w:rPr>
          <w:rFonts w:ascii="Arial" w:cs="Arial" w:eastAsia="Arial" w:hAnsi="Arial"/>
          <w:sz w:val="18"/>
          <w:szCs w:val="18"/>
          <w:color w:val="auto"/>
        </w:rPr>
      </w:pPr>
    </w:p>
    <w:p>
      <w:pPr>
        <w:ind w:right="240" w:firstLine="464"/>
        <w:spacing w:after="0" w:line="259" w:lineRule="auto"/>
        <w:tabs>
          <w:tab w:leader="none" w:pos="701"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case of an election under Section 12.03 hereof, the Company shall have delivered to the Trustee an Opinion of Counsel confirming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79" w:name="page80"/>
    <w:bookmarkEnd w:id="79"/>
    <w:p>
      <w:pPr>
        <w:jc w:val="both"/>
        <w:ind w:right="100" w:firstLine="464"/>
        <w:spacing w:after="0" w:line="259" w:lineRule="auto"/>
        <w:tabs>
          <w:tab w:leader="none" w:pos="711"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Default or Event of Default (or event that, with the giving of notice or lapse of time or both would become an Event of Default) with respect to the Securities of such series shall have occurred and be continuing on the date of such deposit or, insofar as Section 5.01(d) or 5.01(e) hereof is concerned, at any time in the period ending on the 124th calendar day after the date of such deposit (it being understood that this condition shall not be deemed satisfied until the expiration of such period).</w:t>
      </w:r>
    </w:p>
    <w:p>
      <w:pPr>
        <w:spacing w:after="0" w:line="186" w:lineRule="exact"/>
        <w:rPr>
          <w:rFonts w:ascii="Arial" w:cs="Arial" w:eastAsia="Arial" w:hAnsi="Arial"/>
          <w:sz w:val="18"/>
          <w:szCs w:val="18"/>
          <w:color w:val="auto"/>
        </w:rPr>
      </w:pPr>
    </w:p>
    <w:p>
      <w:pPr>
        <w:jc w:val="both"/>
        <w:ind w:right="160" w:firstLine="464"/>
        <w:spacing w:after="0" w:line="264" w:lineRule="auto"/>
        <w:tabs>
          <w:tab w:leader="none" w:pos="701"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result in a breach or violation of, or constitute a default under any material agreement or instrument (other than this Indenture) to which the Company or any Guarantor is a party or by which the Company or such Guarantor is bound (other than a breach, violation or default resulting from the borrowing of funds to be applied to such deposit).</w:t>
      </w:r>
    </w:p>
    <w:p>
      <w:pPr>
        <w:spacing w:after="0" w:line="181" w:lineRule="exact"/>
        <w:rPr>
          <w:rFonts w:ascii="Arial" w:cs="Arial" w:eastAsia="Arial" w:hAnsi="Arial"/>
          <w:sz w:val="18"/>
          <w:szCs w:val="18"/>
          <w:color w:val="auto"/>
        </w:rPr>
      </w:pPr>
    </w:p>
    <w:p>
      <w:pPr>
        <w:jc w:val="both"/>
        <w:ind w:firstLine="464"/>
        <w:spacing w:after="0" w:line="264" w:lineRule="auto"/>
        <w:tabs>
          <w:tab w:leader="none" w:pos="681"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made by the Company pursuant to its election under Section 12.02 or 12.03 hereof was not made by the Company with the intent of preferring the Holders of the affected Securities over the other creditors of the Company with the intent of defeating, hindering, delaying or defrauding creditors of the Company, or others.</w:t>
      </w:r>
    </w:p>
    <w:p>
      <w:pPr>
        <w:spacing w:after="0" w:line="181"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be effected in compliance with any additional terms, conditions or limitations which may be imposed on the Company in connection therewith pursuant to Section 3.01.</w:t>
      </w:r>
    </w:p>
    <w:p>
      <w:pPr>
        <w:spacing w:after="0" w:line="170" w:lineRule="exact"/>
        <w:rPr>
          <w:rFonts w:ascii="Arial" w:cs="Arial" w:eastAsia="Arial" w:hAnsi="Arial"/>
          <w:sz w:val="18"/>
          <w:szCs w:val="18"/>
          <w:color w:val="auto"/>
        </w:rPr>
      </w:pPr>
    </w:p>
    <w:p>
      <w:pPr>
        <w:ind w:right="120" w:firstLine="464"/>
        <w:spacing w:after="0" w:line="264" w:lineRule="auto"/>
        <w:tabs>
          <w:tab w:leader="none" w:pos="711"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either the Legal Defeasance under Section 12.02 hereof or the Covenant Defeasance under Section 12.03 hereof (as the case may be) have been complied with as contemplated by this Section 12.04.</w:t>
      </w:r>
    </w:p>
    <w:p>
      <w:pPr>
        <w:spacing w:after="0" w:line="18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 xml:space="preserve">SECTION 12.05. </w:t>
      </w:r>
      <w:r>
        <w:rPr>
          <w:rFonts w:ascii="Arial" w:cs="Arial" w:eastAsia="Arial" w:hAnsi="Arial"/>
          <w:sz w:val="16"/>
          <w:szCs w:val="16"/>
          <w:u w:val="single" w:color="auto"/>
          <w:color w:val="auto"/>
        </w:rPr>
        <w:t>Deposited Money and Government Securities to be Held in Trust; Other Miscellaneous Provisions</w:t>
      </w:r>
      <w:r>
        <w:rPr>
          <w:rFonts w:ascii="Arial" w:cs="Arial" w:eastAsia="Arial" w:hAnsi="Arial"/>
          <w:sz w:val="16"/>
          <w:szCs w:val="16"/>
          <w:color w:val="auto"/>
        </w:rPr>
        <w:t>. Subject to Section 12.06 hereof, all money and non-callable Government Securities (including the proceeds thereof) deposited with the Trustee pursuant to Section 12.04 hereof in respect of the outstanding Securities of a particular series shall be held in trust and applied by the Trustee, in accordance with the provisions of such Securities, the Guarantees, if any, relating to such series of Securities and this Indenture, to the payment, either directly or through any Paying Agent (including the Company acting as Paying Agent) as the Trustee may determine, to the Holders of such Securities of all sums due and to become due thereon in respect of principal (and premium, if any) and interest, if any, but such money need not be segregated from other funds except to the extent required by law.</w:t>
      </w:r>
    </w:p>
    <w:p>
      <w:pPr>
        <w:spacing w:after="0" w:line="16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cash or non-callable Government Securities deposited pursuant to Section 12.04 hereof or the principal and interest received in respect thereof other than any such tax, fee or other charge that by law is for the account of the Holders of the outstanding Securities of such series.</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Anything in this Article 12 to the contrary notwithstanding, the Trustee shall deliver or pay to the Company from time to time upon the Company’s request any money or non-callable Government Securities held by it as provided in Section 12.04 hereof with respect to the Securities of any series which, in the opinion of a nationally recognized firm of independent public accountants expressed in a written certification thereof delivered to the Trustee (which may be the opinion delivered under Section 12.04(a) hereof), are in excess of the amount thereof which would then be required to be deposited to effect an equivalent Legal Defeasance or Covenant Defeasance.</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Repayment to the Company or Guarantor</w:t>
      </w:r>
      <w:r>
        <w:rPr>
          <w:rFonts w:ascii="Arial" w:cs="Arial" w:eastAsia="Arial" w:hAnsi="Arial"/>
          <w:sz w:val="18"/>
          <w:szCs w:val="18"/>
          <w:color w:val="auto"/>
        </w:rPr>
        <w:t>. Any money deposited with the Trustee or any Paying Agent, or then held by the Company or applicable Guarantor, in trust for the payment of the principal of (and premium, if any) and interest, if any, on any Security and remaining unclaimed for two years after such principal, or interest or premium, if any, has become due and payable and was deposited with the Paying Agent shall be paid to the Company or such Guarantor on its written request (or if then held by the Company or such Guarantor) will be discharged from such trust) subject to any applicable abandoned property law; and the Holder of such Security shall thereafter, as an unsecured general creditor, look only to the Company or such Guarantor for payment thereof, and all liability of the Trustee or such Paying Agent with respect to such trust money, and all liability of the Company or such Guarantor as trustee thereof, shall thereupon cease.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80" w:name="page81"/>
    <w:bookmarkEnd w:id="80"/>
    <w:p>
      <w:pPr>
        <w:ind w:right="6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12.07. </w:t>
      </w:r>
      <w:r>
        <w:rPr>
          <w:rFonts w:ascii="Arial" w:cs="Arial" w:eastAsia="Arial" w:hAnsi="Arial"/>
          <w:sz w:val="18"/>
          <w:szCs w:val="18"/>
          <w:u w:val="single" w:color="auto"/>
          <w:color w:val="auto"/>
        </w:rPr>
        <w:t>Reinstatement</w:t>
      </w:r>
      <w:r>
        <w:rPr>
          <w:rFonts w:ascii="Arial" w:cs="Arial" w:eastAsia="Arial" w:hAnsi="Arial"/>
          <w:sz w:val="18"/>
          <w:szCs w:val="18"/>
          <w:color w:val="auto"/>
        </w:rPr>
        <w:t xml:space="preserve">. If the Trustee or Paying Agent is unable to apply any Dollars or non-callable Government Securities in accordance with Section 12.02 or 12.03 hereof, as the case may be, by reason of any order or judgment of any court or governmental authority enjoining, restraining or otherwise prohibiting such application, then the obligations of the Company and the applicable Guarantors under this Indenture, the Securities and any Guarantees shall be revived and reinstated as though no deposit had occurred pursuant to Section 12.02 or 12.03 hereof until such time as the Trustee or Paying Agent is permitted to apply all such money in accordance with Section 12.02 or 12.03 hereof,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Company or any Guarantor makes any payment of principal of, or interest or premium, if any, on any Security following the reinstatement of its obligations, the Company or any Guarantor shall be subrogated to the rights of the Holders of such Security to receive such payment from the money held by the Trustee or Paying Agent.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SATISFACTION AND DISCHARGE</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SECTION 13.01. </w:t>
      </w:r>
      <w:r>
        <w:rPr>
          <w:rFonts w:ascii="Arial" w:cs="Arial" w:eastAsia="Arial" w:hAnsi="Arial"/>
          <w:sz w:val="17"/>
          <w:szCs w:val="17"/>
          <w:u w:val="single" w:color="auto"/>
          <w:color w:val="auto"/>
        </w:rPr>
        <w:t>Satisfaction and Discharge of Indenture</w:t>
      </w:r>
      <w:r>
        <w:rPr>
          <w:rFonts w:ascii="Arial" w:cs="Arial" w:eastAsia="Arial" w:hAnsi="Arial"/>
          <w:sz w:val="17"/>
          <w:szCs w:val="17"/>
          <w:color w:val="auto"/>
        </w:rPr>
        <w:t>. This Indenture shall upon a Company Request cease to be of further effect with respect to any series of Securities (except, as to any surviving rights of registration of transfer, exchange or conversion of Securities of such series herein expressly provided for or in the form of Security for such series and any rights to receive payment of interest thereon), and the Trustee, on demand of and at the expense of the Company, shall execute proper instruments acknowledging satisfaction and discharge of this Indenture, when: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either</w:t>
      </w:r>
    </w:p>
    <w:p>
      <w:pPr>
        <w:spacing w:after="0" w:line="117" w:lineRule="exact"/>
        <w:rPr>
          <w:sz w:val="20"/>
          <w:szCs w:val="20"/>
          <w:color w:val="auto"/>
        </w:rPr>
      </w:pPr>
    </w:p>
    <w:p>
      <w:pPr>
        <w:ind w:left="920" w:right="120" w:firstLine="421"/>
        <w:spacing w:after="0" w:line="291" w:lineRule="auto"/>
        <w:tabs>
          <w:tab w:leader="none" w:pos="1555" w:val="left"/>
        </w:tabs>
        <w:numPr>
          <w:ilvl w:val="2"/>
          <w:numId w:val="81"/>
        </w:numPr>
        <w:rPr>
          <w:rFonts w:ascii="Arial" w:cs="Arial" w:eastAsia="Arial" w:hAnsi="Arial"/>
          <w:sz w:val="16"/>
          <w:szCs w:val="16"/>
          <w:color w:val="auto"/>
        </w:rPr>
      </w:pPr>
      <w:r>
        <w:rPr>
          <w:rFonts w:ascii="Arial" w:cs="Arial" w:eastAsia="Arial" w:hAnsi="Arial"/>
          <w:sz w:val="16"/>
          <w:szCs w:val="16"/>
          <w:color w:val="auto"/>
        </w:rPr>
        <w:t>all Securities of such series theretofore authenticated and delivered (other than (A) Securities which have been destroyed, lost or stolen and which have been replaced or paid as provided in Section 3.09, and (B) Securities for whose payment money has theretofore been</w:t>
      </w:r>
    </w:p>
    <w:p>
      <w:pPr>
        <w:jc w:val="both"/>
        <w:ind w:left="920" w:right="360" w:firstLine="1"/>
        <w:spacing w:after="0" w:line="255" w:lineRule="auto"/>
        <w:tabs>
          <w:tab w:leader="none" w:pos="1175"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deposited in trust or segregated and held in trust by the Company and thereafter repaid to the Company or discharged from such trust, as provided in Section 4.03(c) or (y) paid to any State or the District of Columbia pursuant to its unclaimed property or similar laws) have been delivered to the Trustee for cancellation; or</w:t>
      </w:r>
    </w:p>
    <w:p>
      <w:pPr>
        <w:spacing w:after="0" w:line="82" w:lineRule="exact"/>
        <w:rPr>
          <w:rFonts w:ascii="Arial" w:cs="Arial" w:eastAsia="Arial" w:hAnsi="Arial"/>
          <w:sz w:val="18"/>
          <w:szCs w:val="18"/>
          <w:color w:val="auto"/>
        </w:rPr>
      </w:pPr>
    </w:p>
    <w:p>
      <w:pPr>
        <w:ind w:left="1600" w:hanging="259"/>
        <w:spacing w:after="0"/>
        <w:tabs>
          <w:tab w:leader="none" w:pos="1600" w:val="left"/>
        </w:tabs>
        <w:numPr>
          <w:ilvl w:val="2"/>
          <w:numId w:val="82"/>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w:t>
      </w:r>
    </w:p>
    <w:p>
      <w:pPr>
        <w:spacing w:after="0" w:line="117" w:lineRule="exact"/>
        <w:rPr>
          <w:rFonts w:ascii="Arial" w:cs="Arial" w:eastAsia="Arial" w:hAnsi="Arial"/>
          <w:sz w:val="18"/>
          <w:szCs w:val="18"/>
          <w:color w:val="auto"/>
        </w:rPr>
      </w:pPr>
    </w:p>
    <w:p>
      <w:pPr>
        <w:ind w:left="1500" w:right="220" w:firstLine="389"/>
        <w:spacing w:after="0" w:line="277" w:lineRule="auto"/>
        <w:tabs>
          <w:tab w:leader="none" w:pos="2192" w:val="left"/>
        </w:tabs>
        <w:numPr>
          <w:ilvl w:val="3"/>
          <w:numId w:val="82"/>
        </w:numPr>
        <w:rPr>
          <w:rFonts w:ascii="Arial" w:cs="Arial" w:eastAsia="Arial" w:hAnsi="Arial"/>
          <w:sz w:val="18"/>
          <w:szCs w:val="18"/>
          <w:color w:val="auto"/>
        </w:rPr>
      </w:pPr>
      <w:r>
        <w:rPr>
          <w:rFonts w:ascii="Arial" w:cs="Arial" w:eastAsia="Arial" w:hAnsi="Arial"/>
          <w:sz w:val="18"/>
          <w:szCs w:val="18"/>
          <w:color w:val="auto"/>
        </w:rPr>
        <w:t>have become due and payable (whether at Stated Maturity, upon redemption (if applicable), upon any required repurchase by the Company (if applicable) or otherwise), or</w:t>
      </w:r>
    </w:p>
    <w:p>
      <w:pPr>
        <w:spacing w:after="0" w:line="62" w:lineRule="exact"/>
        <w:rPr>
          <w:rFonts w:ascii="Arial" w:cs="Arial" w:eastAsia="Arial" w:hAnsi="Arial"/>
          <w:sz w:val="18"/>
          <w:szCs w:val="18"/>
          <w:color w:val="auto"/>
        </w:rPr>
      </w:pPr>
    </w:p>
    <w:p>
      <w:pPr>
        <w:ind w:left="2180" w:hanging="291"/>
        <w:spacing w:after="0"/>
        <w:tabs>
          <w:tab w:leader="none" w:pos="2180" w:val="left"/>
        </w:tabs>
        <w:numPr>
          <w:ilvl w:val="3"/>
          <w:numId w:val="82"/>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1500" w:right="160" w:firstLine="389"/>
        <w:spacing w:after="0" w:line="255" w:lineRule="auto"/>
        <w:tabs>
          <w:tab w:leader="none" w:pos="2182" w:val="left"/>
        </w:tabs>
        <w:numPr>
          <w:ilvl w:val="3"/>
          <w:numId w:val="82"/>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 and the Company, in the case of (A), (B) or (C) above, has deposited or caused to be deposited with the Trustee, as trust funds in trust for the purpose, money in the amount in the currency or currency units in which the Securities of such series are payable, sufficient to pay and discharge the entire indebtedness on such Securities not theretofore delivered to the Trustee for cancellation, for principal (and premium, if any) and interest, if any, to the date of such deposit (in the case of Securities which have become due and payable), or to the Stated Maturity or redemption date, as the case may be;</w:t>
      </w:r>
    </w:p>
    <w:p>
      <w:pPr>
        <w:spacing w:after="0" w:line="189" w:lineRule="exact"/>
        <w:rPr>
          <w:rFonts w:ascii="Arial" w:cs="Arial" w:eastAsia="Arial" w:hAnsi="Arial"/>
          <w:sz w:val="18"/>
          <w:szCs w:val="18"/>
          <w:color w:val="auto"/>
        </w:rPr>
      </w:pPr>
    </w:p>
    <w:p>
      <w:pPr>
        <w:ind w:left="720" w:hanging="256"/>
        <w:spacing w:after="0"/>
        <w:tabs>
          <w:tab w:leader="none" w:pos="7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Company or a Guarantor, if any, has paid or caused to be paid all other sums payable hereunder by the Company or the Guarantors, if any; and</w:t>
      </w:r>
    </w:p>
    <w:p>
      <w:pPr>
        <w:spacing w:after="0" w:line="248" w:lineRule="exact"/>
        <w:rPr>
          <w:rFonts w:ascii="Arial" w:cs="Arial" w:eastAsia="Arial" w:hAnsi="Arial"/>
          <w:sz w:val="16"/>
          <w:szCs w:val="16"/>
          <w:color w:val="auto"/>
        </w:rPr>
      </w:pPr>
    </w:p>
    <w:p>
      <w:pPr>
        <w:ind w:right="520" w:firstLine="464"/>
        <w:spacing w:after="0" w:line="277" w:lineRule="auto"/>
        <w:tabs>
          <w:tab w:leader="none" w:pos="701"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81" w:name="page82"/>
    <w:bookmarkEnd w:id="81"/>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satisfaction and discharge of this Indenture, the obligations of the Company to the Trustee under Section 6.07 and, if money shall have been deposited with the Trustee pursuant to subclause (ii) of clause (a) of this Section, the obligations of the Trustee under Section 13.02 and Section 4.03(e) shall survive.</w:t>
      </w:r>
    </w:p>
    <w:p>
      <w:pPr>
        <w:spacing w:after="0" w:line="18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 Subject to the provisions of Section 4.03(e), all money deposited with the Trustee pursuant to Section 13.01 shall be held in trust and applied by it, in accordance with the provisions of the Securities, the Guarantees, if any, relating to such series of Securities and this Indenture, to the payment, either directly or through any Paying Agent (including the Company acting as its own Paying Agent), as the Trustee may determine, to the Persons entitled thereto, of the principal (and premium, if any) and interest, if any, for whose payment such money has been deposited with the Trustee.</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ARTICLE 14</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HOLDERS’ LISTS AND REPORTS BY TRUSTEE, COMPANY AND GUARANTORS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14.01. </w:t>
      </w:r>
      <w:r>
        <w:rPr>
          <w:rFonts w:ascii="Arial" w:cs="Arial" w:eastAsia="Arial" w:hAnsi="Arial"/>
          <w:sz w:val="16"/>
          <w:szCs w:val="16"/>
          <w:u w:val="single" w:color="auto"/>
          <w:color w:val="auto"/>
        </w:rPr>
        <w:t>Company to Furnish Trustee Names and Addresses of Holders</w:t>
      </w:r>
      <w:r>
        <w:rPr>
          <w:rFonts w:ascii="Arial" w:cs="Arial" w:eastAsia="Arial" w:hAnsi="Arial"/>
          <w:sz w:val="16"/>
          <w:szCs w:val="16"/>
          <w:color w:val="auto"/>
        </w:rPr>
        <w:t>. The Company will furnish or cause to be furnished to the Trustee:</w:t>
      </w:r>
    </w:p>
    <w:p>
      <w:pPr>
        <w:spacing w:after="0" w:line="248" w:lineRule="exact"/>
        <w:rPr>
          <w:sz w:val="20"/>
          <w:szCs w:val="20"/>
          <w:color w:val="auto"/>
        </w:rPr>
      </w:pPr>
    </w:p>
    <w:p>
      <w:pPr>
        <w:ind w:right="120" w:firstLine="464"/>
        <w:spacing w:after="0" w:line="259" w:lineRule="auto"/>
        <w:tabs>
          <w:tab w:leader="none" w:pos="701"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semi-annually, not later than 15 calendar days after the Regular Record Date for each series of Securities, a list, in such form as the Trustee may reasonably require, of the names and addresses of the Holders of Securities as of such Regular Record Date (unless the Trustee has such information), or if there is no Regular Record Date for interest for such series of Securities, semi-annually, upon such dates as are set forth in the Board Resolution of the Company or indenture supplemental hereto authorizing such series, and</w:t>
      </w:r>
    </w:p>
    <w:p>
      <w:pPr>
        <w:spacing w:after="0" w:line="186" w:lineRule="exact"/>
        <w:rPr>
          <w:rFonts w:ascii="Arial" w:cs="Arial" w:eastAsia="Arial" w:hAnsi="Arial"/>
          <w:sz w:val="18"/>
          <w:szCs w:val="18"/>
          <w:color w:val="auto"/>
        </w:rPr>
      </w:pPr>
    </w:p>
    <w:p>
      <w:pPr>
        <w:ind w:right="220" w:firstLine="464"/>
        <w:spacing w:after="0" w:line="277" w:lineRule="auto"/>
        <w:tabs>
          <w:tab w:leader="none" w:pos="7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calendar days after the receipt by the Company of any such request, a list of similar form and content as of a date not more than 15 calendar days prior to the time such list is furnished;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the Trustee is the Registrar, no such list shall be required to be furnished.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14.02. </w:t>
      </w:r>
      <w:r>
        <w:rPr>
          <w:rFonts w:ascii="Arial" w:cs="Arial" w:eastAsia="Arial" w:hAnsi="Arial"/>
          <w:sz w:val="18"/>
          <w:szCs w:val="18"/>
          <w:u w:val="single" w:color="auto"/>
          <w:color w:val="auto"/>
        </w:rPr>
        <w:t>Preservation of Information; Communications to Holders</w:t>
      </w:r>
      <w:r>
        <w:rPr>
          <w:rFonts w:ascii="Arial" w:cs="Arial" w:eastAsia="Arial" w:hAnsi="Arial"/>
          <w:sz w:val="18"/>
          <w:szCs w:val="18"/>
          <w:color w:val="auto"/>
        </w:rPr>
        <w:t>.</w:t>
      </w:r>
    </w:p>
    <w:p>
      <w:pPr>
        <w:spacing w:after="0" w:line="225" w:lineRule="exact"/>
        <w:rPr>
          <w:sz w:val="20"/>
          <w:szCs w:val="20"/>
          <w:color w:val="auto"/>
        </w:rPr>
      </w:pPr>
    </w:p>
    <w:p>
      <w:pPr>
        <w:ind w:right="160" w:firstLine="464"/>
        <w:spacing w:after="0" w:line="286" w:lineRule="auto"/>
        <w:tabs>
          <w:tab w:leader="none" w:pos="701"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Trustee shall preserve, in as current a form as is reasonably practicable, the names and addresses of Holders contained in the most recent list furnished to the Trustee as provided in Section 14.01 and the names and addresses of Holders received by the Trustee in its capacity as the Registrar. The Trustee may destroy any list furnished to it as provided in Section 14.01 upon receipt of a new list so furnished.</w:t>
      </w:r>
    </w:p>
    <w:p>
      <w:pPr>
        <w:spacing w:after="0" w:line="165" w:lineRule="exact"/>
        <w:rPr>
          <w:rFonts w:ascii="Arial" w:cs="Arial" w:eastAsia="Arial" w:hAnsi="Arial"/>
          <w:sz w:val="17"/>
          <w:szCs w:val="17"/>
          <w:color w:val="auto"/>
        </w:rPr>
      </w:pPr>
    </w:p>
    <w:p>
      <w:pPr>
        <w:ind w:firstLine="464"/>
        <w:spacing w:after="0" w:line="297" w:lineRule="auto"/>
        <w:tabs>
          <w:tab w:leader="none" w:pos="711"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three or more Holders (herein referred to as “applicants”) apply in writing to the Trustee, and furnish to the Trustee reasonable proof that each such applicant has owned a Security for a period of at least six months preceding the date of such application (or since the first date of the issuance for such Security, if the holding period is less than six months), and such application states that the applicants desire to communicate with other Holders with respect to their rights under this Indenture or under the Securities and is accompanied by a copy of the form of proxy or other communication which such applicants propose to transmit, then the Trustee shall, within five Business Days after the receipt of such application, at its election, either</w:t>
      </w:r>
    </w:p>
    <w:p>
      <w:pPr>
        <w:spacing w:after="0" w:line="50" w:lineRule="exact"/>
        <w:rPr>
          <w:rFonts w:ascii="Arial" w:cs="Arial" w:eastAsia="Arial" w:hAnsi="Arial"/>
          <w:sz w:val="16"/>
          <w:szCs w:val="16"/>
          <w:color w:val="auto"/>
        </w:rPr>
      </w:pPr>
    </w:p>
    <w:p>
      <w:pPr>
        <w:ind w:left="1120" w:hanging="217"/>
        <w:spacing w:after="0"/>
        <w:tabs>
          <w:tab w:leader="none" w:pos="11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afford such applicants access to the information preserved at the time by the Trustee in accordance with Section 14.02(a); or</w:t>
      </w:r>
    </w:p>
    <w:p>
      <w:pPr>
        <w:spacing w:after="0" w:line="117" w:lineRule="exact"/>
        <w:rPr>
          <w:rFonts w:ascii="Arial" w:cs="Arial" w:eastAsia="Arial" w:hAnsi="Arial"/>
          <w:sz w:val="18"/>
          <w:szCs w:val="18"/>
          <w:color w:val="auto"/>
        </w:rPr>
      </w:pPr>
    </w:p>
    <w:p>
      <w:pPr>
        <w:ind w:left="460" w:right="20" w:firstLine="443"/>
        <w:spacing w:after="0" w:line="264" w:lineRule="auto"/>
        <w:tabs>
          <w:tab w:leader="none" w:pos="1163" w:val="left"/>
        </w:tabs>
        <w:numPr>
          <w:ilvl w:val="1"/>
          <w:numId w:val="85"/>
        </w:numPr>
        <w:rPr>
          <w:rFonts w:ascii="Arial" w:cs="Arial" w:eastAsia="Arial" w:hAnsi="Arial"/>
          <w:sz w:val="18"/>
          <w:szCs w:val="18"/>
          <w:color w:val="auto"/>
        </w:rPr>
      </w:pPr>
      <w:r>
        <w:rPr>
          <w:rFonts w:ascii="Arial" w:cs="Arial" w:eastAsia="Arial" w:hAnsi="Arial"/>
          <w:sz w:val="18"/>
          <w:szCs w:val="18"/>
          <w:color w:val="auto"/>
        </w:rPr>
        <w:t>inform such applicants as to the approximate number of Holders whose names and addresses appear in the information preserved at the time by the Trustee in accordance with Section 14.02(a), and as to the approximate cost of mailing to such Holders the form of proxy or other communication, if any, specified in such application.</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80"/>
          </w:cols>
          <w:pgMar w:left="240" w:top="274" w:right="379" w:bottom="1440" w:gutter="0" w:footer="0" w:header="0"/>
        </w:sectPr>
      </w:pPr>
    </w:p>
    <w:bookmarkStart w:id="82" w:name="page83"/>
    <w:bookmarkEnd w:id="82"/>
    <w:p>
      <w:pPr>
        <w:ind w:right="20" w:firstLine="45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Trustee shall elect not to afford such applicants access to such information, the Trustee shall, upon the written request of such applicants, mail to each Holder whose name and address appears in the information preserved at the time by the Trustee in accordance with Section 14.02(a) a copy of the form of proxy or other communication which is specified in such request, with reasonable promptness after a tender to the Trustee of the material to be mailed and of payment, or provision for the payment, of the reasonable expenses of mailing, unless within five Business Days after such tender the Trustee shall mail to such applicants and file with the Commission, together with a copy of the material to be mailed, a written statement to the effect that, in the opinion of the Trustee, such mailing would be contrary to the best interest of the Holders or would be in violation of applicable law. Such written statement shall specify the basis of such opinion. If the Commission, after opportunity for a hearing upon the objections specified in the written statement so filed, shall enter an order refusing to sustain any of such objections or if, after the entry of an order sustaining one or more of such objections, the Commission shall find, after notice and opportunity for hearing, that all objections so sustained have been met and shall enter an order so declaring, the Trustee shall mail copies of such material to all such Holders with reasonable promptness after the entry of such order and the renewal of such tender; otherwise the Trustee shall be relieved of any obligation or duty to such applicants respecting their application.</w:t>
      </w:r>
    </w:p>
    <w:p>
      <w:pPr>
        <w:spacing w:after="0" w:line="183" w:lineRule="exact"/>
        <w:rPr>
          <w:sz w:val="20"/>
          <w:szCs w:val="20"/>
          <w:color w:val="auto"/>
        </w:rPr>
      </w:pPr>
    </w:p>
    <w:p>
      <w:pPr>
        <w:jc w:val="both"/>
        <w:ind w:right="40" w:firstLine="464"/>
        <w:spacing w:after="0" w:line="302" w:lineRule="auto"/>
        <w:tabs>
          <w:tab w:leader="none" w:pos="701" w:val="left"/>
        </w:tabs>
        <w:numPr>
          <w:ilvl w:val="0"/>
          <w:numId w:val="86"/>
        </w:numPr>
        <w:rPr>
          <w:rFonts w:ascii="Arial" w:cs="Arial" w:eastAsia="Arial" w:hAnsi="Arial"/>
          <w:sz w:val="16"/>
          <w:szCs w:val="16"/>
          <w:color w:val="auto"/>
        </w:rPr>
      </w:pPr>
      <w:r>
        <w:rPr>
          <w:rFonts w:ascii="Arial" w:cs="Arial" w:eastAsia="Arial" w:hAnsi="Arial"/>
          <w:sz w:val="16"/>
          <w:szCs w:val="16"/>
          <w:color w:val="auto"/>
        </w:rPr>
        <w:t>Every Holder of Securities, by receiving and holding the same, agrees with the Company, any applicable Guarantor and the Trustee that none of the Company, such Guarantors and the Trustee nor any of their respective agents shall be held accountable by reason of the disclosure of any such information as to the names and addresses of the Holders in accordance with Section 14.02(b), regardless of the source from which such information was derived, and that the Trustee shall not be held accountable by reason of mailing any material pursuant to a request made under Section 14.02(b).</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14.03. </w:t>
      </w:r>
      <w:r>
        <w:rPr>
          <w:rFonts w:ascii="Arial" w:cs="Arial" w:eastAsia="Arial" w:hAnsi="Arial"/>
          <w:sz w:val="18"/>
          <w:szCs w:val="18"/>
          <w:u w:val="single" w:color="auto"/>
          <w:color w:val="auto"/>
        </w:rPr>
        <w:t>Reports by the Trustee</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59" w:lineRule="auto"/>
        <w:tabs>
          <w:tab w:leader="none" w:pos="70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60 calendar days after each May 15th following the date of this Indenture (commencing May 15, [●]) deliver to Holders a brief report, dated as of such May 15th, which complies with the provisions of such Section 313(a).</w:t>
      </w:r>
    </w:p>
    <w:p>
      <w:pPr>
        <w:spacing w:after="0" w:line="186" w:lineRule="exact"/>
        <w:rPr>
          <w:rFonts w:ascii="Arial" w:cs="Arial" w:eastAsia="Arial" w:hAnsi="Arial"/>
          <w:sz w:val="18"/>
          <w:szCs w:val="18"/>
          <w:color w:val="auto"/>
        </w:rPr>
      </w:pPr>
    </w:p>
    <w:p>
      <w:pPr>
        <w:ind w:right="60" w:firstLine="464"/>
        <w:spacing w:after="0" w:line="264" w:lineRule="auto"/>
        <w:tabs>
          <w:tab w:leader="none" w:pos="711"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copy of each such report shall, at the time of such transmission to Holders, be filed by the Trustee with each securities exchange upon which Securities of any series are listed, with the Commission and with the Company. The Company will promptly notify the Trustee when any Securities are listed on any securities exchange and of any delisting thereof.</w:t>
      </w:r>
    </w:p>
    <w:p>
      <w:pPr>
        <w:spacing w:after="0" w:line="181"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 xml:space="preserve">SECTION 14.04. </w:t>
      </w:r>
      <w:r>
        <w:rPr>
          <w:rFonts w:ascii="Arial" w:cs="Arial" w:eastAsia="Arial" w:hAnsi="Arial"/>
          <w:sz w:val="17"/>
          <w:szCs w:val="17"/>
          <w:u w:val="single" w:color="auto"/>
          <w:color w:val="auto"/>
        </w:rPr>
        <w:t>Reports by the Company and Guarantors</w:t>
      </w:r>
      <w:r>
        <w:rPr>
          <w:rFonts w:ascii="Arial" w:cs="Arial" w:eastAsia="Arial" w:hAnsi="Arial"/>
          <w:sz w:val="17"/>
          <w:szCs w:val="17"/>
          <w:color w:val="auto"/>
        </w:rPr>
        <w:t xml:space="preserve">. The Company shall furnish to the Trustee, within 15 calendar days after it actually files such annual and quarterly reports, information, documents and other reports with the Commission, copies of its annual report and of the information, documents and other reports (or copies of such portions of any of the foregoing the Commission may by rules and regulations prescribe) that the Company is required to file with the Commission pursuant to Section 13 or 15(d) of the Exchange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annual and quarterly reports, information, documents and other reports and information filed with the Commission may be provided by the Company to the Trustee electronically. The Company and any Guarantor shall comply with the other provisions of TIA Section 314(a). Delivery of such information, documents and reports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It is expressly understood that materials transmitted electronically by the Company to the Trustee or filed pursuant to the Commission’s EDGAR system (or any successor electronic filing system) shall be deemed filed with the Trustee and transmitted to Holders for purposes of this Section 14.04.</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74" w:right="27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15.01. </w:t>
      </w:r>
      <w:r>
        <w:rPr>
          <w:rFonts w:ascii="Arial" w:cs="Arial" w:eastAsia="Arial" w:hAnsi="Arial"/>
          <w:sz w:val="17"/>
          <w:szCs w:val="17"/>
          <w:u w:val="single" w:color="auto"/>
          <w:color w:val="auto"/>
        </w:rPr>
        <w:t>Incorporators, Stockholders, Members, Partners, Officers, Managers and Directors of Company or any Guarantor Exempt from</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Individual Liability</w:t>
      </w:r>
      <w:r>
        <w:rPr>
          <w:rFonts w:ascii="Arial" w:cs="Arial" w:eastAsia="Arial" w:hAnsi="Arial"/>
          <w:sz w:val="17"/>
          <w:szCs w:val="17"/>
          <w:color w:val="auto"/>
        </w:rPr>
        <w:t>. No recourse under or upon any obligation, covenant or agreement contained in this Indenture, or in any Security of any series or any Guarantees, or because of any indebtedness evidenced thereby, shall be had against any incorporator, as such or against any past, present or future stockholder, member, partner, officer, manager or director, as such, of the Company, any Guarantor or any successor, either directly or through the Company, any Guarantor or any successor, under any rule of law, statute or constitutional provision or by the enforcement of any assessment or by any legal or equitable proceeding or otherwise, all such liability being expressly waived and released by the acceptance of the Securities of such series by the Holders thereof and as part of the consideration for the issue of the Securities of such series.</w:t>
      </w:r>
    </w:p>
    <w:p>
      <w:pPr>
        <w:spacing w:after="0" w:line="17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Provisions of Indenture for the Sole Benefit of Parties and Holders</w:t>
      </w:r>
      <w:r>
        <w:rPr>
          <w:rFonts w:ascii="Arial" w:cs="Arial" w:eastAsia="Arial" w:hAnsi="Arial"/>
          <w:sz w:val="18"/>
          <w:szCs w:val="18"/>
          <w:color w:val="auto"/>
        </w:rPr>
        <w:t>. Except as set forth in Section 15.10, nothing in this Indenture or in the Securities of any series, expressed or implied, shall give or be construed to give to any person, firm or corporation, other than the parties hereto and their successors and the Holders of the Securities of such series,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88"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 xml:space="preserve">SECTION 15.03. </w:t>
      </w:r>
      <w:r>
        <w:rPr>
          <w:rFonts w:ascii="Arial" w:cs="Arial" w:eastAsia="Arial" w:hAnsi="Arial"/>
          <w:sz w:val="16"/>
          <w:szCs w:val="16"/>
          <w:u w:val="single" w:color="auto"/>
          <w:color w:val="auto"/>
        </w:rPr>
        <w:t>Successors and Assigns of Company or Guarantor Bound by Indenture</w:t>
      </w:r>
      <w:r>
        <w:rPr>
          <w:rFonts w:ascii="Arial" w:cs="Arial" w:eastAsia="Arial" w:hAnsi="Arial"/>
          <w:sz w:val="16"/>
          <w:szCs w:val="16"/>
          <w:color w:val="auto"/>
        </w:rPr>
        <w:t>. All the covenants, stipulations, promises and agreements in this Indenture contained by or in behalf of the Company or any Guarantor shall bind their successors and assigns, whether so expressed or not.</w:t>
      </w:r>
    </w:p>
    <w:p>
      <w:pPr>
        <w:spacing w:after="0" w:line="124"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 xml:space="preserve">SECTION 15.04. </w:t>
      </w:r>
      <w:r>
        <w:rPr>
          <w:rFonts w:ascii="Arial" w:cs="Arial" w:eastAsia="Arial" w:hAnsi="Arial"/>
          <w:sz w:val="17"/>
          <w:szCs w:val="17"/>
          <w:u w:val="single" w:color="auto"/>
          <w:color w:val="auto"/>
        </w:rPr>
        <w:t>Notices, Etc., to Trustee, the Company and Guarantors</w:t>
      </w:r>
      <w:r>
        <w:rPr>
          <w:rFonts w:ascii="Arial" w:cs="Arial" w:eastAsia="Arial" w:hAnsi="Arial"/>
          <w:sz w:val="17"/>
          <w:szCs w:val="17"/>
          <w:color w:val="auto"/>
        </w:rPr>
        <w:t>. Any request, demand, authorization, direction, notice, consent, waiver or act of Holders or other document provided or permitted by this Indenture to be made upon, given or furnished to, or filed with:</w:t>
      </w:r>
    </w:p>
    <w:p>
      <w:pPr>
        <w:spacing w:after="0" w:line="38" w:lineRule="exact"/>
        <w:rPr>
          <w:sz w:val="20"/>
          <w:szCs w:val="20"/>
          <w:color w:val="auto"/>
        </w:rPr>
      </w:pPr>
    </w:p>
    <w:p>
      <w:pPr>
        <w:ind w:left="460" w:right="20" w:firstLine="443"/>
        <w:spacing w:after="0" w:line="302" w:lineRule="auto"/>
        <w:tabs>
          <w:tab w:leader="none" w:pos="1153"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the Trustee by any Holder, or by the Company or a Guarantor, if any, shall be sufficient for every purpose hereunder if made, given, furnished or filed in writing to or with the Trustee at [●], facsimile [●], or such other facsimile number as may be provided by the Trustee from time to time, and shall be deemed to have been made at the time of actual receipt of such written notice or facsimile transmission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delivery made or facsimile sent on a day other than a Business Day shall be deemed to be received on the next following Business Day; or</w:t>
      </w:r>
    </w:p>
    <w:p>
      <w:pPr>
        <w:spacing w:after="0" w:line="46" w:lineRule="exact"/>
        <w:rPr>
          <w:rFonts w:ascii="Arial" w:cs="Arial" w:eastAsia="Arial" w:hAnsi="Arial"/>
          <w:sz w:val="16"/>
          <w:szCs w:val="16"/>
          <w:color w:val="auto"/>
        </w:rPr>
      </w:pPr>
    </w:p>
    <w:p>
      <w:pPr>
        <w:ind w:left="460" w:right="120" w:firstLine="443"/>
        <w:spacing w:after="0" w:line="276" w:lineRule="auto"/>
        <w:tabs>
          <w:tab w:leader="none" w:pos="1153"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the Company or a Guarantor, if any, by the Trustee or by any Holder shall be sufficient for every purpose hereunder (unless otherwise herein expressly provided) if in writing to the Company or such Guarantor, as the case may be, addressed to it at the address specified in Schedule I hereto or at any other address or facsimile number previously furnished in writing to the Trustee by the Company or such Guarantor, as the case may be, and shall be deemed to have been made at the time of delivery or facsimile transmission;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delivery made or facsimile sent on a day other than a Business Day shall be deemed to be received on the next following Business Day.</w:t>
      </w:r>
    </w:p>
    <w:p>
      <w:pPr>
        <w:spacing w:after="0" w:line="17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SECTION 15.05. </w:t>
      </w:r>
      <w:r>
        <w:rPr>
          <w:rFonts w:ascii="Arial" w:cs="Arial" w:eastAsia="Arial" w:hAnsi="Arial"/>
          <w:sz w:val="16"/>
          <w:szCs w:val="16"/>
          <w:u w:val="single" w:color="auto"/>
          <w:color w:val="auto"/>
        </w:rPr>
        <w:t>Notices to Holders</w:t>
      </w:r>
      <w:r>
        <w:rPr>
          <w:rFonts w:ascii="Arial" w:cs="Arial" w:eastAsia="Arial" w:hAnsi="Arial"/>
          <w:sz w:val="16"/>
          <w:szCs w:val="16"/>
          <w:color w:val="auto"/>
        </w:rPr>
        <w:t>. Where this Indenture provides for notice to Holders, such notice shall be sufficiently given (unless otherwise herein expressly provided) if in writing and mailed, first-class postage prepaid, to each Holder entitled thereto, at its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The Trustee may waive notice to it of any provision herein, and such waiver shall be deemed to be for its convenience and discretion. Waivers of notice by Holders shall be filed with the Trustee, but such filing shall not be a condition precedent to the validity of any action taken in reliance upon such waiver.</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84" w:name="page85"/>
    <w:bookmarkEnd w:id="84"/>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case, by reason of the suspension of or irregularities in regular mail service, it shall be impracticable to mail notice to the Company, any Guarantor or any Holders when such notice is required to be given pursuant to any provision of this Indenture, then any manner of giving such notice as shall be satisfactory to the Trustee shall be deemed to be a sufficient giving of such notice.</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SECTION 15.06. </w:t>
      </w:r>
      <w:r>
        <w:rPr>
          <w:rFonts w:ascii="Arial" w:cs="Arial" w:eastAsia="Arial" w:hAnsi="Arial"/>
          <w:sz w:val="17"/>
          <w:szCs w:val="17"/>
          <w:u w:val="single" w:color="auto"/>
          <w:color w:val="auto"/>
        </w:rPr>
        <w:t>Officers’ Certificates and Opinions of Counsel; Statements to Be Contained Therein</w:t>
      </w:r>
      <w:r>
        <w:rPr>
          <w:rFonts w:ascii="Arial" w:cs="Arial" w:eastAsia="Arial" w:hAnsi="Arial"/>
          <w:sz w:val="17"/>
          <w:szCs w:val="17"/>
          <w:color w:val="auto"/>
        </w:rPr>
        <w:t>. Upon any application or demand by the Company or any Guarantor to the Trustee to take any action under any of the provisions of this Indenture, the Company or such Guarantor, as the case may be,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19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Any certificate, statement or opinion of an officer of the Company or any Guarantor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or information which is in the possession of the Company, upon the certificate, statement or opinion of or representations by an officer or officers of the Company or such Guarantor, as the case may be,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spacing w:after="0" w:line="16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Any certificate, statement or opinion of an officer or counsel of the Company or any Guarantor may be based, insofar as it relates to accounting matters, upon a certificate or opinion of or representations by an accountant or firm of accountants in the employ of the Company or such Guarantor, as the case may be, unless such officer or counsel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spacing w:after="0" w:line="154"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Any certificate or opinion of any independent firm of public accountants filed with the Trustee shall contain a statement that such firm is independent within the meaning of the Securities Act and the rules and regulations promulgated thereunder.</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15.07. </w:t>
      </w:r>
      <w:r>
        <w:rPr>
          <w:rFonts w:ascii="Arial" w:cs="Arial" w:eastAsia="Arial" w:hAnsi="Arial"/>
          <w:sz w:val="18"/>
          <w:szCs w:val="18"/>
          <w:u w:val="single" w:color="auto"/>
          <w:color w:val="auto"/>
        </w:rPr>
        <w:t>Payments Due on Saturdays, Sundays and Holidays</w:t>
      </w:r>
      <w:r>
        <w:rPr>
          <w:rFonts w:ascii="Arial" w:cs="Arial" w:eastAsia="Arial" w:hAnsi="Arial"/>
          <w:sz w:val="18"/>
          <w:szCs w:val="18"/>
          <w:color w:val="auto"/>
        </w:rPr>
        <w:t>. If the Stated Maturity of interest on or principal of the Securities of a particular series or the date fixed for redemption of any Security shall not be a Business Day, then payment of interest or principal with respect to such Securities need not be made on such date, but may be made on the next succeeding Business Day with the same force and effect as if made on the date of maturity or the date fixed for redemption, and no interest shall accrue for the period after such date.</w:t>
      </w:r>
    </w:p>
    <w:p>
      <w:pPr>
        <w:spacing w:after="0" w:line="18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 xml:space="preserve">SECTION 15.08. </w:t>
      </w:r>
      <w:r>
        <w:rPr>
          <w:rFonts w:ascii="Arial" w:cs="Arial" w:eastAsia="Arial" w:hAnsi="Arial"/>
          <w:sz w:val="18"/>
          <w:szCs w:val="18"/>
          <w:u w:val="single" w:color="auto"/>
          <w:color w:val="auto"/>
        </w:rPr>
        <w:t>Conflict of Any Provision of Indenture with Trust Indenture Act</w:t>
      </w:r>
      <w:r>
        <w:rPr>
          <w:rFonts w:ascii="Arial" w:cs="Arial" w:eastAsia="Arial" w:hAnsi="Arial"/>
          <w:sz w:val="18"/>
          <w:szCs w:val="18"/>
          <w:color w:val="auto"/>
        </w:rPr>
        <w:t>. If and to the extent that any provision of this Indenture limits, qualifies or conflicts with another provision included in this Indenture by operation of Sections 310 to 317, inclusive, of the Trust Indenture Act (an “incorporated provision”), such incorporated provision shall control.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85" w:name="page86"/>
    <w:bookmarkEnd w:id="85"/>
    <w:p>
      <w:pPr>
        <w:ind w:right="3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15.09. </w:t>
      </w:r>
      <w:r>
        <w:rPr>
          <w:rFonts w:ascii="Arial" w:cs="Arial" w:eastAsia="Arial" w:hAnsi="Arial"/>
          <w:sz w:val="18"/>
          <w:szCs w:val="18"/>
          <w:u w:val="single" w:color="auto"/>
          <w:color w:val="auto"/>
        </w:rPr>
        <w:t>Conflict of Any Provision of Securities with Indenture</w:t>
      </w:r>
      <w:r>
        <w:rPr>
          <w:rFonts w:ascii="Arial" w:cs="Arial" w:eastAsia="Arial" w:hAnsi="Arial"/>
          <w:sz w:val="18"/>
          <w:szCs w:val="18"/>
          <w:color w:val="auto"/>
        </w:rPr>
        <w:t>. If and to the extent that any provision of the Securities limits, qualifies or conflicts with a provision of this Indenture, such provision of this Indenture shall control.</w:t>
      </w:r>
    </w:p>
    <w:p>
      <w:pPr>
        <w:spacing w:after="0" w:line="170"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 xml:space="preserve">SECTION 15.10. </w:t>
      </w:r>
      <w:r>
        <w:rPr>
          <w:rFonts w:ascii="Arial" w:cs="Arial" w:eastAsia="Arial" w:hAnsi="Arial"/>
          <w:sz w:val="16"/>
          <w:szCs w:val="16"/>
          <w:u w:val="single" w:color="auto"/>
          <w:color w:val="auto"/>
        </w:rPr>
        <w:t>New York Law to Govern</w:t>
      </w:r>
      <w:r>
        <w:rPr>
          <w:rFonts w:ascii="Arial" w:cs="Arial" w:eastAsia="Arial" w:hAnsi="Arial"/>
          <w:sz w:val="16"/>
          <w:szCs w:val="16"/>
          <w:color w:val="auto"/>
        </w:rPr>
        <w:t>. This Indenture, the Securities of any series and the Guarantees, if any, shall each be deemed to be a contract under the laws of the State of New York, and for all purposes shall be construed in accordance with the laws of the State of New York, but without giving effect to applicable principles of conflicts of law to the extent that the application of the law of another jurisdiction would be required thereby.</w:t>
      </w:r>
    </w:p>
    <w:p>
      <w:pPr>
        <w:spacing w:after="0" w:line="147"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 xml:space="preserve">SECTION 15.11.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waives, and each Holder by acceptance of its Securities shall be deemed to have waived, to the fullest extent permitted by applicable law, any right it may have to a trial by jury (but no other judicial remedies) in respect of any litigation directly or indirectly arising out of, under or in connection with this Indenture or the transactions contemplated hereby.</w:t>
      </w:r>
    </w:p>
    <w:p>
      <w:pPr>
        <w:spacing w:after="0" w:line="16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15.12. </w:t>
      </w:r>
      <w:r>
        <w:rPr>
          <w:rFonts w:ascii="Arial" w:cs="Arial" w:eastAsia="Arial" w:hAnsi="Arial"/>
          <w:sz w:val="16"/>
          <w:szCs w:val="16"/>
          <w:u w:val="single" w:color="auto"/>
          <w:color w:val="auto"/>
        </w:rPr>
        <w:t>Consent to Jurisdiction and Service</w:t>
      </w:r>
      <w:r>
        <w:rPr>
          <w:rFonts w:ascii="Arial" w:cs="Arial" w:eastAsia="Arial" w:hAnsi="Arial"/>
          <w:sz w:val="16"/>
          <w:szCs w:val="16"/>
          <w:color w:val="auto"/>
        </w:rPr>
        <w:t>. The Company and each Guarantor, if any, irrevocably (a) agree that any legal suit, action or proceeding against the Company or any Guarantor arising out of or based upon this Indenture, the Notes or any Guarantee or the transactions contemplated hereby may be instituted in any U.S. Federal or state court in the City and County of New York (collectively, the “Specified Courts”) and (b) waive, to the fullest extent they may effectively do so, any objection which they may now or hereafter have to the laying of venue of any such proceeding. The Company and each Guarantor hereby appoint C T Corporation System, 111 Eighth Avenue, New York, New York, 10011, as their authorized agent (the “Authorized Agent”) upon whom process may be served in any such action arising out of or based on this Indenture, the Securities or the transactions contemplated hereby which may be instituted in any Specified Court, expressly consent to the jurisdiction of any such Specified Court in respect of any such action, and waive any other requirements of or objections to personal jurisdiction with respect thereto. Such appointment shall be irrevocable by the Company and any Guarantors. The Company and each Guarantor represent and warrant that the Authorized Agent has agreed to act as such agent for service of process and agree to take any and all action, including the filing of any and all documents and instruments, that may be necessary to continue such appointment in full force and effect as aforesaid. Service of process upon the Authorized Agent in any manner permitted by applicable law and written notice of such service to the Company or to a Guarantor shall be deemed, in every respect, effective service of process upon the Company or such Guarantor.</w:t>
      </w:r>
    </w:p>
    <w:p>
      <w:pPr>
        <w:spacing w:after="0" w:line="16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SECTION 15.13.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Holders of Securities of the Company are third party beneficiaries of this Indenture, and any of them (or their representative) shall have the right to enforce the provisions of this Indenture that benefit such Holders.</w:t>
      </w:r>
    </w:p>
    <w:p>
      <w:pPr>
        <w:spacing w:after="0" w:line="170"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 xml:space="preserve">SECTION 15.14.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SECTION 15.15. </w:t>
      </w:r>
      <w:r>
        <w:rPr>
          <w:rFonts w:ascii="Arial" w:cs="Arial" w:eastAsia="Arial" w:hAnsi="Arial"/>
          <w:sz w:val="18"/>
          <w:szCs w:val="18"/>
          <w:u w:val="single" w:color="auto"/>
          <w:color w:val="auto"/>
        </w:rPr>
        <w:t>Effect of Headings, Table of Contents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70" w:lineRule="exact"/>
        <w:rPr>
          <w:sz w:val="20"/>
          <w:szCs w:val="20"/>
          <w:color w:val="auto"/>
        </w:rPr>
      </w:pPr>
    </w:p>
    <w:p>
      <w:pPr>
        <w:ind w:right="640" w:firstLine="456"/>
        <w:spacing w:after="0" w:line="342" w:lineRule="auto"/>
        <w:rPr>
          <w:sz w:val="20"/>
          <w:szCs w:val="20"/>
          <w:color w:val="auto"/>
        </w:rPr>
      </w:pPr>
      <w:r>
        <w:rPr>
          <w:rFonts w:ascii="Arial" w:cs="Arial" w:eastAsia="Arial" w:hAnsi="Arial"/>
          <w:sz w:val="16"/>
          <w:szCs w:val="16"/>
          <w:color w:val="auto"/>
        </w:rPr>
        <w:t xml:space="preserve">SECTION 15.16. </w:t>
      </w:r>
      <w:r>
        <w:rPr>
          <w:rFonts w:ascii="Arial" w:cs="Arial" w:eastAsia="Arial" w:hAnsi="Arial"/>
          <w:sz w:val="16"/>
          <w:szCs w:val="16"/>
          <w:u w:val="single" w:color="auto"/>
          <w:color w:val="auto"/>
        </w:rPr>
        <w:t>No Adverse Interpretation of Other Agreements</w:t>
      </w:r>
      <w:r>
        <w:rPr>
          <w:rFonts w:ascii="Arial" w:cs="Arial" w:eastAsia="Arial" w:hAnsi="Arial"/>
          <w:sz w:val="16"/>
          <w:szCs w:val="16"/>
          <w:color w:val="auto"/>
        </w:rPr>
        <w:t>. This Indenture may not be used to interpret another indenture, loan or debt agreement of the Company, any Guarantor or any Subsidiary. Any such indenture, loan or debt agreement may not be used to interpret this Indenture.</w:t>
      </w:r>
    </w:p>
    <w:p>
      <w:pPr>
        <w:spacing w:after="0" w:line="124"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SECTION 15.17.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hereof shall be held to be invalid, illegal or unenforceable under applicable law, then the remaining provisions hereof shall be construed as though such invalid, illegal or unenforceable provision were not contained herein.</w:t>
      </w:r>
    </w:p>
    <w:p>
      <w:pPr>
        <w:spacing w:after="0" w:line="17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SECTION 15.18. </w:t>
      </w:r>
      <w:r>
        <w:rPr>
          <w:rFonts w:ascii="Arial" w:cs="Arial" w:eastAsia="Arial" w:hAnsi="Arial"/>
          <w:sz w:val="18"/>
          <w:szCs w:val="18"/>
          <w:u w:val="single" w:color="auto"/>
          <w:color w:val="auto"/>
        </w:rPr>
        <w:t>Patriot Act Compliance</w:t>
      </w:r>
      <w:r>
        <w:rPr>
          <w:rFonts w:ascii="Arial" w:cs="Arial" w:eastAsia="Arial" w:hAnsi="Arial"/>
          <w:sz w:val="18"/>
          <w:szCs w:val="18"/>
          <w:color w:val="auto"/>
        </w:rPr>
        <w:t>. The parties hereto acknowledge that in accordance with Section 326 of the USA Patriot Act the Trustee, like all financial institutions, is required to obtain, verify, and record information that identifies each person or legal entity that establishes a relationship or opens account with the Trustee. The parties to this Indenture agree that they will provide the Trustee with such information as it may request in order for the Trustee to satisfy the requirements of the USA Patriot Act.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86" w:name="page87"/>
    <w:bookmarkEnd w:id="86"/>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15.19. </w:t>
      </w:r>
      <w:r>
        <w:rPr>
          <w:rFonts w:ascii="Arial" w:cs="Arial" w:eastAsia="Arial" w:hAnsi="Arial"/>
          <w:sz w:val="18"/>
          <w:szCs w:val="18"/>
          <w:u w:val="single" w:color="auto"/>
          <w:color w:val="auto"/>
        </w:rPr>
        <w:t>Force Majeure</w:t>
      </w:r>
      <w:r>
        <w:rPr>
          <w:rFonts w:ascii="Arial" w:cs="Arial" w:eastAsia="Arial" w:hAnsi="Arial"/>
          <w:sz w:val="18"/>
          <w:szCs w:val="18"/>
          <w:color w:val="auto"/>
        </w:rPr>
        <w:t>. In no event shall the Trustee, Registrar or Paying Agent be liable for any failure or delay in the performance of its obligations hereunder because of circumstances beyond the Trustee’s, Registrar’s or Paying Agents’ control, including, but not limited to, acts of God, flood, war (whether declared or undeclared), terrorism, fire, riot or embargo, which delay, restrict or prohibit the providing of the services contemplated by this Indenture.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240" w:top="274" w:right="339" w:bottom="1440" w:gutter="0" w:footer="0" w:header="0"/>
        </w:sectPr>
      </w:pPr>
    </w:p>
    <w:bookmarkStart w:id="87" w:name="page88"/>
    <w:bookmarkEnd w:id="87"/>
    <w:p>
      <w:pPr>
        <w:jc w:val="center"/>
        <w:ind w:right="-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Indenture to be duly executed, all as of [●].</w:t>
      </w: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REGENXBIO Inc.</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as the Company</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as a Guarantor</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139"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[Signature Page to Base Indenture]</w:t>
      </w:r>
    </w:p>
    <w:p>
      <w:pPr>
        <w:sectPr>
          <w:pgSz w:w="11900" w:h="16838" w:orient="portrait"/>
          <w:cols w:equalWidth="0" w:num="1">
            <w:col w:w="9299"/>
          </w:cols>
          <w:pgMar w:left="1160" w:top="274" w:right="1440" w:bottom="1440" w:gutter="0" w:footer="0" w:header="0"/>
        </w:sectPr>
      </w:pPr>
    </w:p>
    <w:bookmarkStart w:id="88" w:name="page89"/>
    <w:bookmarkEnd w:id="8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as the Trustee</w:t>
      </w:r>
    </w:p>
    <w:p>
      <w:pPr>
        <w:spacing w:after="0" w:line="24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 Page to Base Indenture]</w:t>
      </w:r>
    </w:p>
    <w:p>
      <w:pPr>
        <w:sectPr>
          <w:pgSz w:w="11900" w:h="16838" w:orient="portrait"/>
          <w:cols w:equalWidth="0" w:num="1">
            <w:col w:w="9019"/>
          </w:cols>
          <w:pgMar w:left="1440" w:top="274" w:right="1440" w:bottom="1440" w:gutter="0" w:footer="0" w:header="0"/>
        </w:sectPr>
      </w:pPr>
    </w:p>
    <w:bookmarkStart w:id="89" w:name="page90"/>
    <w:bookmarkEnd w:id="89"/>
    <w:p>
      <w:pPr>
        <w:spacing w:after="0" w:line="200" w:lineRule="exact"/>
        <w:rPr>
          <w:sz w:val="20"/>
          <w:szCs w:val="20"/>
          <w:color w:val="auto"/>
        </w:rPr>
      </w:pPr>
    </w:p>
    <w:p>
      <w:pPr>
        <w:spacing w:after="0" w:line="255" w:lineRule="exact"/>
        <w:rPr>
          <w:sz w:val="20"/>
          <w:szCs w:val="20"/>
          <w:color w:val="auto"/>
        </w:rPr>
      </w:pPr>
    </w:p>
    <w:p>
      <w:pPr>
        <w:ind w:left="640"/>
        <w:spacing w:after="0"/>
        <w:rPr>
          <w:sz w:val="20"/>
          <w:szCs w:val="20"/>
          <w:color w:val="auto"/>
        </w:rPr>
      </w:pPr>
      <w:r>
        <w:rPr>
          <w:rFonts w:ascii="Arial" w:cs="Arial" w:eastAsia="Arial" w:hAnsi="Arial"/>
          <w:sz w:val="14"/>
          <w:szCs w:val="14"/>
          <w:b w:val="1"/>
          <w:bCs w:val="1"/>
          <w:u w:val="single" w:color="auto"/>
          <w:color w:val="auto"/>
        </w:rPr>
        <w:t>Company</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REGENXBIO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40"/>
        <w:spacing w:after="0"/>
        <w:rPr>
          <w:sz w:val="20"/>
          <w:szCs w:val="20"/>
          <w:color w:val="auto"/>
        </w:rPr>
      </w:pPr>
      <w:r>
        <w:rPr>
          <w:rFonts w:ascii="Arial" w:cs="Arial" w:eastAsia="Arial" w:hAnsi="Arial"/>
          <w:sz w:val="14"/>
          <w:szCs w:val="14"/>
          <w:b w:val="1"/>
          <w:bCs w:val="1"/>
          <w:u w:val="single" w:color="auto"/>
          <w:color w:val="auto"/>
        </w:rPr>
        <w:t>Guarantor</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-213360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41" w:lineRule="exact"/>
        <w:rPr>
          <w:sz w:val="20"/>
          <w:szCs w:val="20"/>
          <w:color w:val="auto"/>
        </w:rPr>
      </w:pPr>
    </w:p>
    <w:p>
      <w:pPr>
        <w:jc w:val="center"/>
        <w:ind w:right="-980"/>
        <w:spacing w:after="0"/>
        <w:rPr>
          <w:sz w:val="20"/>
          <w:szCs w:val="20"/>
          <w:color w:val="auto"/>
        </w:rPr>
      </w:pPr>
      <w:r>
        <w:rPr>
          <w:rFonts w:ascii="Arial" w:cs="Arial" w:eastAsia="Arial" w:hAnsi="Arial"/>
          <w:sz w:val="14"/>
          <w:szCs w:val="14"/>
          <w:b w:val="1"/>
          <w:bCs w:val="1"/>
          <w:color w:val="auto"/>
        </w:rPr>
        <w:t>Address and 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1026160</wp:posOffset>
            </wp:positionH>
            <wp:positionV relativeFrom="paragraph">
              <wp:posOffset>6350</wp:posOffset>
            </wp:positionV>
            <wp:extent cx="16897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9600 Blackwell Road, Suite 210</w:t>
      </w:r>
    </w:p>
    <w:p>
      <w:pPr>
        <w:spacing w:after="0" w:line="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Rockville, Maryland 20850</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(240) 552-8181</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Attn: General Counsel</w:t>
      </w:r>
    </w:p>
    <w:p>
      <w:pPr>
        <w:spacing w:after="0" w:line="256" w:lineRule="exact"/>
        <w:rPr>
          <w:sz w:val="20"/>
          <w:szCs w:val="20"/>
          <w:color w:val="auto"/>
        </w:rPr>
      </w:pPr>
    </w:p>
    <w:p>
      <w:pPr>
        <w:jc w:val="center"/>
        <w:ind w:left="-239"/>
        <w:spacing w:after="0"/>
        <w:rPr>
          <w:sz w:val="20"/>
          <w:szCs w:val="20"/>
          <w:color w:val="auto"/>
        </w:rPr>
      </w:pPr>
      <w:r>
        <w:rPr>
          <w:rFonts w:ascii="Arial" w:cs="Arial" w:eastAsia="Arial" w:hAnsi="Arial"/>
          <w:sz w:val="12"/>
          <w:szCs w:val="12"/>
          <w:b w:val="1"/>
          <w:bCs w:val="1"/>
          <w:u w:val="single" w:color="auto"/>
          <w:color w:val="auto"/>
        </w:rPr>
        <w:t>Address and Facsimile Number</w:t>
      </w:r>
    </w:p>
    <w:p>
      <w:pPr>
        <w:spacing w:after="0" w:line="48"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3400" w:space="720"/>
            <w:col w:w="4899"/>
          </w:cols>
          <w:pgMar w:left="1440" w:top="270" w:right="1440"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16,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REGENXBIO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9600 Blackwell Road, Suite 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20850</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This opinion is furnished to REGENXBIO Inc. (the “Company”), in connection with the filing with the Securities and Exchange Commission on December 16, 2016 of a registration statement on Form S-3 (the “Registration Statement”), including the prospectus that is part of the Registration Statement (the “Prospectus”), under the Securities Act of 1933, as amended (the “Act”). The Prospectus provides that it will be supplemented in the future by one or more prospectus supplements (each, a “Prospectus Supplement”). The Prospectus, as supplemented by the various Prospectus Supplements, relates to the registration of the offering by the Company from time to time of (a) (i) shares of common stock, $0.0001 par value per share (the “Common Stock”) of the Company, (ii) shares of preferred stock, $0.0001 par value per share (the “Preferred Stock”) of the Company, (iii) one or more series of the debt securities of the Company (the “Debt Securities”), which may be either senior securities or subordinated securities and which may be convertible into or exchangeable for shares of the Common Stock or Preferred Stock, (iv) warrants to purchase shares of Common Stock, shares of Preferred Stock and/or Debt Securities (the “Warrants”) (v) rights to purchase shares of Common Stock, shares of Preferred Stock and/or Debt Securities (the “Rights”) or (vi) units representing an interest in a combination of one or more of the foregoing (the “Units”) and (b) 5,057,458 shares of Common Stock to be offered and sold by certain stockholders of the Company (the “Selling Stockholder Shares”).</w:t>
      </w:r>
    </w:p>
    <w:p>
      <w:pPr>
        <w:spacing w:after="0" w:line="183" w:lineRule="exact"/>
        <w:rPr>
          <w:sz w:val="20"/>
          <w:szCs w:val="20"/>
          <w:color w:val="auto"/>
        </w:rPr>
      </w:pPr>
    </w:p>
    <w:p>
      <w:pPr>
        <w:ind w:right="240" w:firstLine="913"/>
        <w:spacing w:after="0" w:line="312" w:lineRule="auto"/>
        <w:rPr>
          <w:sz w:val="20"/>
          <w:szCs w:val="20"/>
          <w:color w:val="auto"/>
        </w:rPr>
      </w:pPr>
      <w:r>
        <w:rPr>
          <w:rFonts w:ascii="Arial" w:cs="Arial" w:eastAsia="Arial" w:hAnsi="Arial"/>
          <w:sz w:val="16"/>
          <w:szCs w:val="16"/>
          <w:color w:val="auto"/>
        </w:rPr>
        <w:t>The Common Stock, the Preferred Stock, the Debt Securities, the Warrants and the Units are collectively referred to herein as the “Securities.” The Securities are being registered for offering and sale from time to time pursuant to Rule 415 under the Securities Act. The maximum aggregate public offering price of the Common Stock, the Preferred Stock, the Debt Securities, the Warrants and the Units being registered is $225,000,000.</w:t>
      </w:r>
    </w:p>
    <w:p>
      <w:pPr>
        <w:spacing w:after="0" w:line="14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The Debt Securities will be issued pursuant to one or more indentures in the form filed as an exhibit to the Registration Statement, as amended or supplemented from time to time (each, an “Indenture”), between the Company, as obligor, and a trustee chosen by the Company and qualified to act as such under the Trust Indenture Act of 1939, as amended (each, a “Trustee”).</w:t>
      </w:r>
    </w:p>
    <w:p>
      <w:pPr>
        <w:spacing w:after="0" w:line="181" w:lineRule="exact"/>
        <w:rPr>
          <w:sz w:val="20"/>
          <w:szCs w:val="20"/>
          <w:color w:val="auto"/>
        </w:rPr>
      </w:pPr>
    </w:p>
    <w:p>
      <w:pPr>
        <w:jc w:val="both"/>
        <w:ind w:right="140" w:firstLine="913"/>
        <w:spacing w:after="0" w:line="297" w:lineRule="auto"/>
        <w:rPr>
          <w:sz w:val="20"/>
          <w:szCs w:val="20"/>
          <w:color w:val="auto"/>
        </w:rPr>
      </w:pPr>
      <w:r>
        <w:rPr>
          <w:rFonts w:ascii="Arial" w:cs="Arial" w:eastAsia="Arial" w:hAnsi="Arial"/>
          <w:sz w:val="16"/>
          <w:szCs w:val="16"/>
          <w:color w:val="auto"/>
        </w:rPr>
        <w:t>In connection with this opinion, we have examined the Registration Statement and such other documents, records, certificates, memoranda and other instruments as we deem necessary as a basis for this opinion. We have assumed the genuineness of all signatures, the legal capacity of natural persons, the genuineness and authenticity of all documents submitted to us as originals, the conformity to originals of all documents submitted to us as copies thereof and the due execution and delivery of all documents where due execution and delivery are a prerequisite to the effectiveness thereof. As to questions of fact material to this opinion, we have relied upon certificates or comparable documents of public officials and of officers and representatives of the Company.</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upon the foregoing and subject to the additional qualifications set forth below, we are of the opinion that:</w:t>
      </w:r>
    </w:p>
    <w:p>
      <w:pPr>
        <w:spacing w:after="0" w:line="225" w:lineRule="exact"/>
        <w:rPr>
          <w:sz w:val="20"/>
          <w:szCs w:val="20"/>
          <w:color w:val="auto"/>
        </w:rPr>
      </w:pPr>
    </w:p>
    <w:p>
      <w:pPr>
        <w:ind w:firstLine="464"/>
        <w:spacing w:after="0" w:line="273" w:lineRule="auto"/>
        <w:tabs>
          <w:tab w:leader="none" w:pos="636" w:val="left"/>
        </w:tabs>
        <w:numPr>
          <w:ilvl w:val="0"/>
          <w:numId w:val="89"/>
        </w:numPr>
        <w:rPr>
          <w:rFonts w:ascii="Arial" w:cs="Arial" w:eastAsia="Arial" w:hAnsi="Arial"/>
          <w:sz w:val="17"/>
          <w:szCs w:val="17"/>
          <w:color w:val="auto"/>
        </w:rPr>
      </w:pPr>
      <w:r>
        <w:rPr>
          <w:rFonts w:ascii="Arial" w:cs="Arial" w:eastAsia="Arial" w:hAnsi="Arial"/>
          <w:sz w:val="17"/>
          <w:szCs w:val="17"/>
          <w:color w:val="auto"/>
        </w:rPr>
        <w:t>When the issuance and the terms of the sale of the shares of Common Stock have been duly authorized by the board of directors of the Company in conformity with its certificate of incorporation, and such shares have been issued and delivered against payment of the purchase price therefor in an amount in excess of the par value thereof, in accordance with the applicable definitive purchase, underwriting or similar agreement, and as contemplated by the Registration Statement, the Prospectus and the related Prospectus Supplement, and, if issued upon the conversion, exchange or exercise of Debt Securities or Warrants, when such shares have been duly issued and delivered as contemplated by the terms of the applicable Indenture or Warrant, such shares of Common Stock will be validly issued, fully paid and nonassessable.</w:t>
      </w:r>
    </w:p>
    <w:p>
      <w:pPr>
        <w:sectPr>
          <w:pgSz w:w="11900" w:h="16838" w:orient="portrait"/>
          <w:cols w:equalWidth="0" w:num="1">
            <w:col w:w="11420"/>
          </w:cols>
          <w:pgMar w:left="240" w:top="121" w:right="239" w:bottom="1440" w:gutter="0" w:footer="0" w:header="0"/>
        </w:sectPr>
      </w:pPr>
    </w:p>
    <w:bookmarkStart w:id="91" w:name="page92"/>
    <w:bookmarkEnd w:id="91"/>
    <w:p>
      <w:pPr>
        <w:ind w:left="-464" w:firstLine="464"/>
        <w:spacing w:after="0" w:line="269" w:lineRule="auto"/>
        <w:tabs>
          <w:tab w:leader="none" w:pos="172" w:val="left"/>
        </w:tabs>
        <w:numPr>
          <w:ilvl w:val="0"/>
          <w:numId w:val="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 the issuance and the terms of the sale of the shares of Preferred Stock have been duly authorized by the board of directors of the Company in conformity with its certificate of incorporation; an appropriate certificate or certificates of designation relating to a series of the Preferred Stock to be sold under the Registration Statement has or have been duly authorized and adopted and filed with the Secretary of State of Delaware; the terms of issuance and sale of shares of such series of Preferred Stock have been duly established in conformity with the Company’s certificate of incorporation and by-laws so as to not violate any applicable law or result in a default under or breach of any agreement or instrument binding upon the Company and comply with any requirement or restriction imposed by any court or governmental body having jurisdiction over the Company or any of its property; and such shares have been issued and delivered against payment of the purchase price therefor in an amount in excess of the par value thereof, in accordance with the applicable definitive purchase, underwriting or similar agreement, and as contemplated by the Registration Statement, the Prospectus and the related Prospectus Supplement, and, if issued upon the conversion, exchange or exercise of any Debt Securities or Warrants, when such shares have been duly issued and delivered as contemplated by the terms of the applicable Indenture or Warrant, the shares of Preferred Stock will be validly issued, fully paid and nonassessable.</w:t>
      </w:r>
    </w:p>
    <w:p>
      <w:pPr>
        <w:spacing w:after="0" w:line="182" w:lineRule="exact"/>
        <w:rPr>
          <w:rFonts w:ascii="Arial" w:cs="Arial" w:eastAsia="Arial" w:hAnsi="Arial"/>
          <w:sz w:val="17"/>
          <w:szCs w:val="17"/>
          <w:color w:val="auto"/>
        </w:rPr>
      </w:pPr>
    </w:p>
    <w:p>
      <w:pPr>
        <w:ind w:left="-464" w:right="60" w:firstLine="464"/>
        <w:spacing w:after="0" w:line="291" w:lineRule="auto"/>
        <w:tabs>
          <w:tab w:leader="none" w:pos="172" w:val="left"/>
        </w:tabs>
        <w:numPr>
          <w:ilvl w:val="0"/>
          <w:numId w:val="90"/>
        </w:numPr>
        <w:rPr>
          <w:rFonts w:ascii="Arial" w:cs="Arial" w:eastAsia="Arial" w:hAnsi="Arial"/>
          <w:sz w:val="16"/>
          <w:szCs w:val="16"/>
          <w:color w:val="auto"/>
        </w:rPr>
      </w:pPr>
      <w:r>
        <w:rPr>
          <w:rFonts w:ascii="Arial" w:cs="Arial" w:eastAsia="Arial" w:hAnsi="Arial"/>
          <w:sz w:val="16"/>
          <w:szCs w:val="16"/>
          <w:color w:val="auto"/>
        </w:rPr>
        <w:t>When the issuance and the terms of the sale of the Debt Securities have been duly authorized by the board of directors of the Company and duly established in conformity with the applicable Indenture so as not to violate any applicable law or result in a default under, or breach of, any agreement or instrument binding upon the Company and so as to comply with any requirement or restriction imposed by any court or governmental or regulatory body having jurisdiction over the Company or any of its property, and the Debt Securities have been duly executed, authenticated, issued, delivered and sold in accordance with the applicable definitive purchase, underwriting or similar agreement, as contemplated by the Registration Statement, the Prospectus and the related Prospectus Supplement, and in the manner provided for in the applicable Indenture against payment of the purchase price therefor, the Debt Securities will constitute valid and binding obligations of the Company enforceable against the Company in accordance with their respective terms.</w:t>
      </w:r>
    </w:p>
    <w:p>
      <w:pPr>
        <w:spacing w:after="0" w:line="167" w:lineRule="exact"/>
        <w:rPr>
          <w:rFonts w:ascii="Arial" w:cs="Arial" w:eastAsia="Arial" w:hAnsi="Arial"/>
          <w:sz w:val="16"/>
          <w:szCs w:val="16"/>
          <w:color w:val="auto"/>
        </w:rPr>
      </w:pPr>
    </w:p>
    <w:p>
      <w:pPr>
        <w:ind w:left="-464" w:right="40" w:firstLine="464"/>
        <w:spacing w:after="0" w:line="293" w:lineRule="auto"/>
        <w:tabs>
          <w:tab w:leader="none" w:pos="172" w:val="left"/>
        </w:tabs>
        <w:numPr>
          <w:ilvl w:val="0"/>
          <w:numId w:val="90"/>
        </w:numPr>
        <w:rPr>
          <w:rFonts w:ascii="Arial" w:cs="Arial" w:eastAsia="Arial" w:hAnsi="Arial"/>
          <w:sz w:val="16"/>
          <w:szCs w:val="16"/>
          <w:color w:val="auto"/>
        </w:rPr>
      </w:pPr>
      <w:r>
        <w:rPr>
          <w:rFonts w:ascii="Arial" w:cs="Arial" w:eastAsia="Arial" w:hAnsi="Arial"/>
          <w:sz w:val="16"/>
          <w:szCs w:val="16"/>
          <w:color w:val="auto"/>
        </w:rPr>
        <w:t>When the issuance and the terms of the sale of the Warrants have been duly authorized by the board of directors of the Company; the terms of the Warrants and of their issuance and sale have been duly established so as to not violate any applicable law or result in a default under or breach of any agreement or instrument binding upon the Company and comply with any requirement or restriction imposed by any court or governmental body having jurisdiction over the Company or any of its property; and the Warrants have been duly executed and issued and sold in accordance with the applicable definitive purchase, underwriting or similar agreement, as contemplated by the Registration Statement, the Prospectus and the related Prospectus Supplement, the Warrants will constitute valid and binding obligations of the Company enforceable against the Company in accordance with their terms.</w:t>
      </w:r>
    </w:p>
    <w:p>
      <w:pPr>
        <w:spacing w:after="0" w:line="164" w:lineRule="exact"/>
        <w:rPr>
          <w:rFonts w:ascii="Arial" w:cs="Arial" w:eastAsia="Arial" w:hAnsi="Arial"/>
          <w:sz w:val="16"/>
          <w:szCs w:val="16"/>
          <w:color w:val="auto"/>
        </w:rPr>
      </w:pPr>
    </w:p>
    <w:p>
      <w:pPr>
        <w:ind w:left="-464" w:right="60" w:firstLine="464"/>
        <w:spacing w:after="0" w:line="293" w:lineRule="auto"/>
        <w:tabs>
          <w:tab w:leader="none" w:pos="172" w:val="left"/>
        </w:tabs>
        <w:numPr>
          <w:ilvl w:val="0"/>
          <w:numId w:val="90"/>
        </w:numPr>
        <w:rPr>
          <w:rFonts w:ascii="Arial" w:cs="Arial" w:eastAsia="Arial" w:hAnsi="Arial"/>
          <w:sz w:val="16"/>
          <w:szCs w:val="16"/>
          <w:color w:val="auto"/>
        </w:rPr>
      </w:pPr>
      <w:r>
        <w:rPr>
          <w:rFonts w:ascii="Arial" w:cs="Arial" w:eastAsia="Arial" w:hAnsi="Arial"/>
          <w:sz w:val="16"/>
          <w:szCs w:val="16"/>
          <w:color w:val="auto"/>
        </w:rPr>
        <w:t>When the issuance and the terms of the sale of the Rights have been duly authorized by the board of directors of the Company; the terms of the Rights and of their issuance and sale have been duly established so as to not violate any applicable law or result in a default under or breach of any agreement or instrument binding upon the Company and comply with any requirement or restriction imposed by any court or governmental body having jurisdiction over the Company or any of its property; and the Rights have been duly executed and issued and sold in accordance with the applicable definitive purchase, underwriting or similar agreement, as contemplated by the Registration Statement, the Prospectus and the related Prospectus Supplement, the Rights will constitute valid and binding obligations of the Company enforceable against the Company in accordance with their terms.</w:t>
      </w:r>
    </w:p>
    <w:p>
      <w:pPr>
        <w:spacing w:after="0" w:line="164" w:lineRule="exact"/>
        <w:rPr>
          <w:rFonts w:ascii="Arial" w:cs="Arial" w:eastAsia="Arial" w:hAnsi="Arial"/>
          <w:sz w:val="16"/>
          <w:szCs w:val="16"/>
          <w:color w:val="auto"/>
        </w:rPr>
      </w:pPr>
    </w:p>
    <w:p>
      <w:pPr>
        <w:ind w:left="-464" w:right="120" w:firstLine="464"/>
        <w:spacing w:after="0" w:line="293" w:lineRule="auto"/>
        <w:tabs>
          <w:tab w:leader="none" w:pos="172" w:val="left"/>
        </w:tabs>
        <w:numPr>
          <w:ilvl w:val="0"/>
          <w:numId w:val="90"/>
        </w:numPr>
        <w:rPr>
          <w:rFonts w:ascii="Arial" w:cs="Arial" w:eastAsia="Arial" w:hAnsi="Arial"/>
          <w:sz w:val="16"/>
          <w:szCs w:val="16"/>
          <w:color w:val="auto"/>
        </w:rPr>
      </w:pPr>
      <w:r>
        <w:rPr>
          <w:rFonts w:ascii="Arial" w:cs="Arial" w:eastAsia="Arial" w:hAnsi="Arial"/>
          <w:sz w:val="16"/>
          <w:szCs w:val="16"/>
          <w:color w:val="auto"/>
        </w:rPr>
        <w:t>When the issuance and the terms of the sale of the Units have been duly authorized by the board of directors of the Company; the terms of the Units and of their issuance and sale have been duly established so as to not violate any applicable law or result in a default under or breach of any agreement or instrument binding upon the Company and comply with any requirement or restriction imposed by any court or governmental body having jurisdiction over the Company or any of its property; and the Units have been duly executed and issued and sold in accordance with the applicable definitive purchase, underwriting or similar agreement, as contemplated by the Registration Statement, the Prospectus and the related Prospectus Supplement, the Units will constitute valid and binding obligations of the Company enforceable against the Company in accordance with their terms.</w:t>
      </w:r>
    </w:p>
    <w:p>
      <w:pPr>
        <w:spacing w:after="0" w:line="164" w:lineRule="exact"/>
        <w:rPr>
          <w:rFonts w:ascii="Arial" w:cs="Arial" w:eastAsia="Arial" w:hAnsi="Arial"/>
          <w:sz w:val="16"/>
          <w:szCs w:val="16"/>
          <w:color w:val="auto"/>
        </w:rPr>
      </w:pPr>
    </w:p>
    <w:p>
      <w:pPr>
        <w:ind w:left="176" w:hanging="176"/>
        <w:spacing w:after="0"/>
        <w:tabs>
          <w:tab w:leader="none" w:pos="176"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Selling Stockholder Shares have been duly authorized and validly issued and are fully paid and nonassessable.</w:t>
      </w:r>
    </w:p>
    <w:p>
      <w:pPr>
        <w:sectPr>
          <w:pgSz w:w="11900" w:h="16838" w:orient="portrait"/>
          <w:cols w:equalWidth="0" w:num="1">
            <w:col w:w="10956"/>
          </w:cols>
          <w:pgMar w:left="704" w:top="274" w:right="239" w:bottom="1440" w:gutter="0" w:footer="0" w:header="0"/>
        </w:sectPr>
      </w:pPr>
    </w:p>
    <w:bookmarkStart w:id="92" w:name="page93"/>
    <w:bookmarkEnd w:id="92"/>
    <w:p>
      <w:pPr>
        <w:ind w:right="8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do not express any opinion herein concerning any law other than the Delaware General Corporation Law (including the statutory provisions, all applicable provisions of the Delaware Constitution and reported judicial decisions interpreting the foregoing) and the laws of the Commonwealth of Massachusetts.</w:t>
      </w:r>
    </w:p>
    <w:p>
      <w:pPr>
        <w:spacing w:after="0" w:line="181"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In rendering the opinions set forth above, we have assumed that (i) the Registration Statement will have become effective under the Securities Act, a Prospectus Supplement will have been prepared and filed with the SEC describing the Securities offered thereby and such Securities will have been issued and/or sold in accordance with the terms of such Prospectus Supplement; (ii) a definitive purchase, underwriting or similar agreement with respect to such Securities (if applicable) will have been duly authorized, executed and delivered by the Company and the other parties thereto; (iii) the Securities issued by the Company will be duly authorized by all necessary corporate action by the Company and any Indenture, any applicable supplemental indenture thereto, and other agreement pursuant to which such Securities may be issued will be duly authorized, executed and delivered by the Company and the other parties thereto; (iv) the Company is and will remain duly organized, validly existing and in good standing under applicable state law; and (v) the Company will have reserved a sufficient number of shares of its duly authorized, but unissued, Common Stock and Preferred Stock as is necessary to provide for the issuance of the shares of Common Stock and Preferred Stock pursuant to the Registration Statement.</w:t>
      </w:r>
    </w:p>
    <w:p>
      <w:pPr>
        <w:spacing w:after="0" w:line="16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The opinions set forth above are subject to the following exceptions, limitations and qualifications: (i) the effect of bankruptcy, insolvency, reorganization, fraudulent conveyance, moratorium or other similar laws now or hereafter in effect relating to or affecting the rights and remedies of creditors;</w:t>
      </w:r>
    </w:p>
    <w:p>
      <w:pPr>
        <w:ind w:right="40" w:firstLine="8"/>
        <w:spacing w:after="0" w:line="268" w:lineRule="auto"/>
        <w:tabs>
          <w:tab w:leader="none" w:pos="265"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effect of general principles of equity, including without limitation, concepts of materiality, reasonableness, good faith and fair dealing and the possible unavailability of specific performance or injunctive relief, regardless of whether enforcement is considered in a proceeding in equity or at law, and the discretion of the court before which any proceeding therefore may be brought; (iii) the unenforceability under certain circumstances under law or court decisions of provision providing for the indemnification of, or contribution to, a party with respect to a liability where such indemnification or contribution is contrary to public policy. We express no opinion (i) concerning the enforceability of any waiver of rights or defenses with respect to stay, extension or usury laws or (ii) with respect to whether acceleration of Debt Securities may affect the collectability of any portion of the stated principal amount thereof which might be determined to constitute unearned interest thereon. Our opinions expressed herein are also subject to the qualification that no term or provision shall be included in any Indenture, any Warrant, any Unit or any other agreement or instrument pursuant to which any of the Securities are to be issued that would affect the validity of such opinions.</w:t>
      </w:r>
    </w:p>
    <w:p>
      <w:pPr>
        <w:spacing w:after="0" w:line="182"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We consent to the use of this opinion as Exhibit 5.1 to the Registration Statement, and further consent to the use of our name under the caption “Legal Matters” in the prospectus included in the Registration Statement, and in any amendment or supplement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Gunderson Dettmer Stough Villeneuve Franklin &amp; Hachigian,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Gunderson Dettmer Stough Villeneuve Franklin &amp; Hachigian, LLP</w:t>
      </w:r>
    </w:p>
    <w:p>
      <w:pPr>
        <w:sectPr>
          <w:pgSz w:w="11900" w:h="16838" w:orient="portrait"/>
          <w:cols w:equalWidth="0" w:num="1">
            <w:col w:w="11400"/>
          </w:cols>
          <w:pgMar w:left="240" w:top="274" w:right="25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S-3 of our report dated March 3, 2016 relating to the financial statements, which appears in REGENXBIO Inc.’s Annual Report on Form 10-K for the year ended December 31, 2015. We also consent to the reference to us under the heading “Experts” in such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16,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1)"/>
      <w:numFmt w:val="lowerRoman"/>
      <w:start w:val="2"/>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1)"/>
      <w:numFmt w:val="decimal"/>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1)"/>
      <w:numFmt w:val="decimal"/>
      <w:start w:val="1"/>
    </w:lvl>
    <w:lvl w:ilvl="1">
      <w:lvlJc w:val="left"/>
      <w:lvlText w:val="(%2)"/>
      <w:numFmt w:val="lowerRoman"/>
      <w:start w:val="1"/>
    </w:lvl>
  </w:abstractNum>
  <w:abstractNum w:abstractNumId="36">
    <w:nsid w:val="310C50B3"/>
    <w:multiLevelType w:val="hybridMultilevel"/>
    <w:lvl w:ilvl="0">
      <w:lvlJc w:val="left"/>
      <w:lvlText w:val="(%1)"/>
      <w:numFmt w:val="decimal"/>
      <w:start w:val="2"/>
    </w:lvl>
    <w:lvl w:ilvl="1">
      <w:lvlJc w:val="left"/>
      <w:lvlText w:val="(%2)"/>
      <w:numFmt w:val="lowerRoman"/>
      <w:start w:val="1"/>
    </w:lvl>
  </w:abstractNum>
  <w:abstractNum w:abstractNumId="37">
    <w:nsid w:val="5FF87E05"/>
    <w:multiLevelType w:val="hybridMultilevel"/>
    <w:lvl w:ilvl="0">
      <w:lvlJc w:val="left"/>
      <w:lvlText w:val="(%1)"/>
      <w:numFmt w:val="decimal"/>
      <w:start w:val="5"/>
    </w:lvl>
    <w:lvl w:ilvl="1">
      <w:lvlJc w:val="left"/>
      <w:lvlText w:val="(%2)"/>
      <w:numFmt w:val="lowerRoman"/>
      <w:start w:val="1"/>
    </w:lvl>
  </w:abstractNum>
  <w:abstractNum w:abstractNumId="38">
    <w:nsid w:val="2F305DEF"/>
    <w:multiLevelType w:val="hybridMultilevel"/>
    <w:lvl w:ilvl="0">
      <w:lvlJc w:val="left"/>
      <w:lvlText w:val="(%1)"/>
      <w:numFmt w:val="decimal"/>
      <w:start w:val="7"/>
    </w:lvl>
    <w:lvl w:ilvl="1">
      <w:lvlJc w:val="left"/>
      <w:lvlText w:val="(%2)"/>
      <w:numFmt w:val="lowerRoman"/>
      <w:start w:val="1"/>
    </w:lvl>
  </w:abstractNum>
  <w:abstractNum w:abstractNumId="39">
    <w:nsid w:val="25A70BF7"/>
    <w:multiLevelType w:val="hybridMultilevel"/>
    <w:lvl w:ilvl="0">
      <w:lvlJc w:val="left"/>
      <w:lvlText w:val="%1"/>
      <w:numFmt w:val="decimal"/>
      <w:start w:val="1"/>
    </w:lvl>
    <w:lvl w:ilvl="1">
      <w:lvlJc w:val="left"/>
      <w:lvlText w:val="%2"/>
      <w:numFmt w:val="decimal"/>
      <w:start w:val="1"/>
    </w:lvl>
    <w:lvl w:ilvl="2">
      <w:lvlJc w:val="left"/>
      <w:lvlText w:val="(%3)"/>
      <w:numFmt w:val="lowerRoman"/>
      <w:start w:val="2"/>
    </w:lvl>
  </w:abstractNum>
  <w:abstractNum w:abstractNumId="40">
    <w:nsid w:val="1DBABF00"/>
    <w:multiLevelType w:val="hybridMultilevel"/>
    <w:lvl w:ilvl="0">
      <w:lvlJc w:val="left"/>
      <w:lvlText w:val="%1"/>
      <w:numFmt w:val="decimal"/>
      <w:start w:val="1"/>
    </w:lvl>
    <w:lvl w:ilvl="1">
      <w:lvlJc w:val="left"/>
      <w:lvlText w:val="(%2)"/>
      <w:numFmt w:val="decimal"/>
      <w:start w:val="10"/>
    </w:lvl>
    <w:lvl w:ilvl="2">
      <w:lvlJc w:val="left"/>
      <w:lvlText w:val="%3"/>
      <w:numFmt w:val="lowerRoman"/>
      <w:start w:val="1"/>
    </w:lvl>
  </w:abstractNum>
  <w:abstractNum w:abstractNumId="41">
    <w:nsid w:val="4AD084E9"/>
    <w:multiLevelType w:val="hybridMultilevel"/>
    <w:lvl w:ilvl="0">
      <w:lvlJc w:val="left"/>
      <w:lvlText w:val="(%1)"/>
      <w:numFmt w:val="decimal"/>
      <w:start w:val="2"/>
    </w:lvl>
    <w:lvl w:ilvl="1">
      <w:lvlJc w:val="left"/>
      <w:lvlText w:val="%2"/>
      <w:numFmt w:val="decimal"/>
      <w:start w:val="1"/>
    </w:lvl>
    <w:lvl w:ilvl="2">
      <w:lvlJc w:val="left"/>
      <w:lvlText w:val="%3"/>
      <w:numFmt w:val="lowerRoman"/>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1)"/>
      <w:numFmt w:val="lowerLetter"/>
      <w:start w:val="1"/>
    </w:lvl>
  </w:abstractNum>
  <w:abstractNum w:abstractNumId="45">
    <w:nsid w:val="100F8FCA"/>
    <w:multiLevelType w:val="hybridMultilevel"/>
    <w:lvl w:ilvl="0">
      <w:lvlJc w:val="left"/>
      <w:lvlText w:val="(%1)"/>
      <w:numFmt w:val="lowerLetter"/>
      <w:start w:val="1"/>
    </w:lvl>
  </w:abstractNum>
  <w:abstractNum w:abstractNumId="46">
    <w:nsid w:val="6590700B"/>
    <w:multiLevelType w:val="hybridMultilevel"/>
    <w:lvl w:ilvl="0">
      <w:lvlJc w:val="left"/>
      <w:lvlText w:val="(%1)"/>
      <w:numFmt w:val="lowerLetter"/>
      <w:start w:val="1"/>
    </w:lvl>
  </w:abstractNum>
  <w:abstractNum w:abstractNumId="47">
    <w:nsid w:val="15014ACB"/>
    <w:multiLevelType w:val="hybridMultilevel"/>
    <w:lvl w:ilvl="0">
      <w:lvlJc w:val="left"/>
      <w:lvlText w:val="(%1)"/>
      <w:numFmt w:val="lowerLetter"/>
      <w:start w:val="3"/>
    </w:lvl>
  </w:abstractNum>
  <w:abstractNum w:abstractNumId="48">
    <w:nsid w:val="5F5E7FD0"/>
    <w:multiLevelType w:val="hybridMultilevel"/>
    <w:lvl w:ilvl="0">
      <w:lvlJc w:val="left"/>
      <w:lvlText w:val="(%1)"/>
      <w:numFmt w:val="lowerRoman"/>
      <w:start w:val="1"/>
    </w:lvl>
  </w:abstractNum>
  <w:abstractNum w:abstractNumId="49">
    <w:nsid w:val="98A3148"/>
    <w:multiLevelType w:val="hybridMultilevel"/>
    <w:lvl w:ilvl="0">
      <w:lvlJc w:val="left"/>
      <w:lvlText w:val="(%1)"/>
      <w:numFmt w:val="lowerLetter"/>
      <w:start w:val="1"/>
    </w:lvl>
    <w:lvl w:ilvl="1">
      <w:lvlJc w:val="left"/>
      <w:lvlText w:val="(%2)"/>
      <w:numFmt w:val="decimal"/>
      <w:start w:val="1"/>
    </w:lvl>
  </w:abstractNum>
  <w:abstractNum w:abstractNumId="50">
    <w:nsid w:val="799D0247"/>
    <w:multiLevelType w:val="hybridMultilevel"/>
    <w:lvl w:ilvl="0">
      <w:lvlJc w:val="left"/>
      <w:lvlText w:val="(%1)"/>
      <w:numFmt w:val="decimal"/>
      <w:start w:val="8"/>
    </w:lvl>
  </w:abstractNum>
  <w:abstractNum w:abstractNumId="51">
    <w:nsid w:val="6B94764"/>
    <w:multiLevelType w:val="hybridMultilevel"/>
    <w:lvl w:ilvl="0">
      <w:lvlJc w:val="left"/>
      <w:lvlText w:val="(%1)"/>
      <w:numFmt w:val="decimal"/>
      <w:start w:val="18"/>
    </w:lvl>
  </w:abstractNum>
  <w:abstractNum w:abstractNumId="52">
    <w:nsid w:val="42C296BD"/>
    <w:multiLevelType w:val="hybridMultilevel"/>
    <w:lvl w:ilvl="0">
      <w:lvlJc w:val="left"/>
      <w:lvlText w:val="(%1)"/>
      <w:numFmt w:val="lowerLetter"/>
      <w:start w:val="1"/>
    </w:lvl>
  </w:abstractNum>
  <w:abstractNum w:abstractNumId="53">
    <w:nsid w:val="168E121F"/>
    <w:multiLevelType w:val="hybridMultilevel"/>
    <w:lvl w:ilvl="0">
      <w:lvlJc w:val="left"/>
      <w:lvlText w:val="(%1)"/>
      <w:numFmt w:val="lowerLetter"/>
      <w:start w:val="2"/>
    </w:lvl>
  </w:abstractNum>
  <w:abstractNum w:abstractNumId="54">
    <w:nsid w:val="1EBA5D23"/>
    <w:multiLevelType w:val="hybridMultilevel"/>
    <w:lvl w:ilvl="0">
      <w:lvlJc w:val="left"/>
      <w:lvlText w:val="%1"/>
      <w:numFmt w:val="lowerLetter"/>
      <w:start w:val="1"/>
    </w:lvl>
    <w:lvl w:ilvl="1">
      <w:lvlJc w:val="left"/>
      <w:lvlText w:val="(%2)"/>
      <w:numFmt w:val="lowerLetter"/>
      <w:start w:val="1"/>
    </w:lvl>
  </w:abstractNum>
  <w:abstractNum w:abstractNumId="55">
    <w:nsid w:val="661E3F1E"/>
    <w:multiLevelType w:val="hybridMultilevel"/>
    <w:lvl w:ilvl="0">
      <w:lvlJc w:val="left"/>
      <w:lvlText w:val="(%1)"/>
      <w:numFmt w:val="lowerLetter"/>
      <w:start w:val="35"/>
    </w:lvl>
    <w:lvl w:ilvl="1">
      <w:lvlJc w:val="left"/>
      <w:lvlText w:val="%2"/>
      <w:numFmt w:val="lowerLetter"/>
      <w:start w:val="1"/>
    </w:lvl>
  </w:abstractNum>
  <w:abstractNum w:abstractNumId="56">
    <w:nsid w:val="5DC79EA8"/>
    <w:multiLevelType w:val="hybridMultilevel"/>
    <w:lvl w:ilvl="0">
      <w:lvlJc w:val="left"/>
      <w:lvlText w:val="(%1)"/>
      <w:numFmt w:val="lowerLetter"/>
      <w:start w:val="2"/>
    </w:lvl>
  </w:abstractNum>
  <w:abstractNum w:abstractNumId="57">
    <w:nsid w:val="540A471C"/>
    <w:multiLevelType w:val="hybridMultilevel"/>
    <w:lvl w:ilvl="0">
      <w:lvlJc w:val="left"/>
      <w:lvlText w:val="(%1)"/>
      <w:numFmt w:val="lowerLetter"/>
      <w:start w:val="3"/>
    </w:lvl>
  </w:abstractNum>
  <w:abstractNum w:abstractNumId="58">
    <w:nsid w:val="7BD3EE7B"/>
    <w:multiLevelType w:val="hybridMultilevel"/>
    <w:lvl w:ilvl="0">
      <w:lvlJc w:val="left"/>
      <w:lvlText w:val="(%1)"/>
      <w:numFmt w:val="lowerLetter"/>
      <w:start w:val="4"/>
    </w:lvl>
  </w:abstractNum>
  <w:abstractNum w:abstractNumId="59">
    <w:nsid w:val="51D9C564"/>
    <w:multiLevelType w:val="hybridMultilevel"/>
    <w:lvl w:ilvl="0">
      <w:lvlJc w:val="left"/>
      <w:lvlText w:val="(%1)"/>
      <w:numFmt w:val="lowerLetter"/>
      <w:start w:val="1"/>
    </w:lvl>
  </w:abstractNum>
  <w:abstractNum w:abstractNumId="60">
    <w:nsid w:val="613EFDC5"/>
    <w:multiLevelType w:val="hybridMultilevel"/>
    <w:lvl w:ilvl="0">
      <w:lvlJc w:val="left"/>
      <w:lvlText w:val="(%1)"/>
      <w:numFmt w:val="lowerLetter"/>
      <w:start w:val="1"/>
    </w:lvl>
  </w:abstractNum>
  <w:abstractNum w:abstractNumId="61">
    <w:nsid w:val="BF72B14"/>
    <w:multiLevelType w:val="hybridMultilevel"/>
    <w:lvl w:ilvl="0">
      <w:lvlJc w:val="left"/>
      <w:lvlText w:val="(%1)"/>
      <w:numFmt w:val="lowerLetter"/>
      <w:start w:val="6"/>
    </w:lvl>
  </w:abstractNum>
  <w:abstractNum w:abstractNumId="62">
    <w:nsid w:val="11447B73"/>
    <w:multiLevelType w:val="hybridMultilevel"/>
    <w:lvl w:ilvl="0">
      <w:lvlJc w:val="left"/>
      <w:lvlText w:val="(%1)"/>
      <w:numFmt w:val="lowerLetter"/>
      <w:start w:val="1"/>
    </w:lvl>
  </w:abstractNum>
  <w:abstractNum w:abstractNumId="63">
    <w:nsid w:val="42963E5A"/>
    <w:multiLevelType w:val="hybridMultilevel"/>
    <w:lvl w:ilvl="0">
      <w:lvlJc w:val="left"/>
      <w:lvlText w:val="(%1)"/>
      <w:numFmt w:val="lowerLetter"/>
      <w:start w:val="1"/>
    </w:lvl>
  </w:abstractNum>
  <w:abstractNum w:abstractNumId="64">
    <w:nsid w:val="A0382C5"/>
    <w:multiLevelType w:val="hybridMultilevel"/>
    <w:lvl w:ilvl="0">
      <w:lvlJc w:val="left"/>
      <w:lvlText w:val="(%1)"/>
      <w:numFmt w:val="lowerLetter"/>
      <w:start w:val="1"/>
    </w:lvl>
  </w:abstractNum>
  <w:abstractNum w:abstractNumId="65">
    <w:nsid w:val="8F2B15E"/>
    <w:multiLevelType w:val="hybridMultilevel"/>
    <w:lvl w:ilvl="0">
      <w:lvlJc w:val="left"/>
      <w:lvlText w:val="(%1)"/>
      <w:numFmt w:val="lowerLetter"/>
      <w:start w:val="3"/>
    </w:lvl>
  </w:abstractNum>
  <w:abstractNum w:abstractNumId="66">
    <w:nsid w:val="1A32234B"/>
    <w:multiLevelType w:val="hybridMultilevel"/>
    <w:lvl w:ilvl="0">
      <w:lvlJc w:val="left"/>
      <w:lvlText w:val="(%1)"/>
      <w:numFmt w:val="lowerLetter"/>
      <w:start w:val="1"/>
    </w:lvl>
  </w:abstractNum>
  <w:abstractNum w:abstractNumId="67">
    <w:nsid w:val="3B0FD379"/>
    <w:multiLevelType w:val="hybridMultilevel"/>
    <w:lvl w:ilvl="0">
      <w:lvlJc w:val="left"/>
      <w:lvlText w:val="(%1)"/>
      <w:numFmt w:val="lowerLetter"/>
      <w:start w:val="7"/>
    </w:lvl>
  </w:abstractNum>
  <w:abstractNum w:abstractNumId="68">
    <w:nsid w:val="68EB2F63"/>
    <w:multiLevelType w:val="hybridMultilevel"/>
    <w:lvl w:ilvl="0">
      <w:lvlJc w:val="left"/>
      <w:lvlText w:val="(%1)"/>
      <w:numFmt w:val="lowerLetter"/>
      <w:start w:val="1"/>
    </w:lvl>
  </w:abstractNum>
  <w:abstractNum w:abstractNumId="69">
    <w:nsid w:val="4962813B"/>
    <w:multiLevelType w:val="hybridMultilevel"/>
    <w:lvl w:ilvl="0">
      <w:lvlJc w:val="left"/>
      <w:lvlText w:val="(%1)"/>
      <w:numFmt w:val="lowerLetter"/>
      <w:start w:val="2"/>
    </w:lvl>
    <w:lvl w:ilvl="1">
      <w:lvlJc w:val="left"/>
      <w:lvlText w:val="(%2)"/>
      <w:numFmt w:val="lowerRoman"/>
      <w:start w:val="1"/>
    </w:lvl>
  </w:abstractNum>
  <w:abstractNum w:abstractNumId="70">
    <w:nsid w:val="60B6DF70"/>
    <w:multiLevelType w:val="hybridMultilevel"/>
    <w:lvl w:ilvl="0">
      <w:lvlJc w:val="left"/>
      <w:lvlText w:val="(%1)"/>
      <w:numFmt w:val="lowerLetter"/>
      <w:start w:val="3"/>
    </w:lvl>
  </w:abstractNum>
  <w:abstractNum w:abstractNumId="71">
    <w:nsid w:val="6A5EE64"/>
    <w:multiLevelType w:val="hybridMultilevel"/>
    <w:lvl w:ilvl="0">
      <w:lvlJc w:val="left"/>
      <w:lvlText w:val="(%1)"/>
      <w:numFmt w:val="lowerLetter"/>
      <w:start w:val="4"/>
    </w:lvl>
  </w:abstractNum>
  <w:abstractNum w:abstractNumId="72">
    <w:nsid w:val="14330624"/>
    <w:multiLevelType w:val="hybridMultilevel"/>
    <w:lvl w:ilvl="0">
      <w:lvlJc w:val="left"/>
      <w:lvlText w:val="(%1)"/>
      <w:numFmt w:val="lowerLetter"/>
      <w:start w:val="1"/>
    </w:lvl>
  </w:abstractNum>
  <w:abstractNum w:abstractNumId="73">
    <w:nsid w:val="7FFFCA11"/>
    <w:multiLevelType w:val="hybridMultilevel"/>
    <w:lvl w:ilvl="0">
      <w:lvlJc w:val="left"/>
      <w:lvlText w:val="(%1)"/>
      <w:numFmt w:val="lowerLetter"/>
      <w:start w:val="1"/>
    </w:lvl>
  </w:abstractNum>
  <w:abstractNum w:abstractNumId="74">
    <w:nsid w:val="1A27709E"/>
    <w:multiLevelType w:val="hybridMultilevel"/>
    <w:lvl w:ilvl="0">
      <w:lvlJc w:val="left"/>
      <w:lvlText w:val="(%1)"/>
      <w:numFmt w:val="lowerLetter"/>
      <w:start w:val="1"/>
    </w:lvl>
  </w:abstractNum>
  <w:abstractNum w:abstractNumId="75">
    <w:nsid w:val="71EA1109"/>
    <w:multiLevelType w:val="hybridMultilevel"/>
    <w:lvl w:ilvl="0">
      <w:lvlJc w:val="left"/>
      <w:lvlText w:val="(%1)"/>
      <w:numFmt w:val="lowerLetter"/>
      <w:start w:val="1"/>
    </w:lvl>
  </w:abstractNum>
  <w:abstractNum w:abstractNumId="76">
    <w:nsid w:val="100F59DC"/>
    <w:multiLevelType w:val="hybridMultilevel"/>
    <w:lvl w:ilvl="0">
      <w:lvlJc w:val="left"/>
      <w:lvlText w:val="(%1)"/>
      <w:numFmt w:val="lowerLetter"/>
      <w:start w:val="1"/>
    </w:lvl>
  </w:abstractNum>
  <w:abstractNum w:abstractNumId="77">
    <w:nsid w:val="7FB7E0AA"/>
    <w:multiLevelType w:val="hybridMultilevel"/>
    <w:lvl w:ilvl="0">
      <w:lvlJc w:val="left"/>
      <w:lvlText w:val="(%1)"/>
      <w:numFmt w:val="lowerLetter"/>
      <w:start w:val="1"/>
    </w:lvl>
  </w:abstractNum>
  <w:abstractNum w:abstractNumId="78">
    <w:nsid w:val="6EB5BD4"/>
    <w:multiLevelType w:val="hybridMultilevel"/>
    <w:lvl w:ilvl="0">
      <w:lvlJc w:val="left"/>
      <w:lvlText w:val="(%1)"/>
      <w:numFmt w:val="lowerLetter"/>
      <w:start w:val="1"/>
    </w:lvl>
  </w:abstractNum>
  <w:abstractNum w:abstractNumId="79">
    <w:nsid w:val="6F6DD9AC"/>
    <w:multiLevelType w:val="hybridMultilevel"/>
    <w:lvl w:ilvl="0">
      <w:lvlJc w:val="left"/>
      <w:lvlText w:val="(%1)"/>
      <w:numFmt w:val="lowerLetter"/>
      <w:start w:val="4"/>
    </w:lvl>
  </w:abstractNum>
  <w:abstractNum w:abstractNumId="80">
    <w:nsid w:val="94211F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81">
    <w:nsid w:val="885E1B"/>
    <w:multiLevelType w:val="hybridMultilevel"/>
    <w:lvl w:ilvl="0">
      <w:lvlJc w:val="left"/>
      <w:lvlText w:val="%1"/>
      <w:numFmt w:val="lowerLetter"/>
      <w:start w:val="1"/>
    </w:lvl>
    <w:lvl w:ilvl="1">
      <w:lvlJc w:val="left"/>
      <w:lvlText w:val="(%2)"/>
      <w:numFmt w:val="lowerLetter"/>
      <w:start w:val="24"/>
    </w:lvl>
    <w:lvl w:ilvl="2">
      <w:lvlJc w:val="left"/>
      <w:lvlText w:val="(%3)"/>
      <w:numFmt w:val="lowerLetter"/>
      <w:start w:val="35"/>
    </w:lvl>
    <w:lvl w:ilvl="3">
      <w:lvlJc w:val="left"/>
      <w:lvlText w:val="(%4)"/>
      <w:numFmt w:val="upperLetter"/>
      <w:start w:val="1"/>
    </w:lvl>
  </w:abstractNum>
  <w:abstractNum w:abstractNumId="82">
    <w:nsid w:val="76272110"/>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83">
    <w:nsid w:val="4C04A8AF"/>
    <w:multiLevelType w:val="hybridMultilevel"/>
    <w:lvl w:ilvl="0">
      <w:lvlJc w:val="left"/>
      <w:lvlText w:val="(%1)"/>
      <w:numFmt w:val="lowerLetter"/>
      <w:start w:val="1"/>
    </w:lvl>
  </w:abstractNum>
  <w:abstractNum w:abstractNumId="84">
    <w:nsid w:val="1716703B"/>
    <w:multiLevelType w:val="hybridMultilevel"/>
    <w:lvl w:ilvl="0">
      <w:lvlJc w:val="left"/>
      <w:lvlText w:val="(%1)"/>
      <w:numFmt w:val="lowerLetter"/>
      <w:start w:val="1"/>
    </w:lvl>
    <w:lvl w:ilvl="1">
      <w:lvlJc w:val="left"/>
      <w:lvlText w:val="(%2)"/>
      <w:numFmt w:val="lowerRoman"/>
      <w:start w:val="1"/>
    </w:lvl>
  </w:abstractNum>
  <w:abstractNum w:abstractNumId="85">
    <w:nsid w:val="14E17E33"/>
    <w:multiLevelType w:val="hybridMultilevel"/>
    <w:lvl w:ilvl="0">
      <w:lvlJc w:val="left"/>
      <w:lvlText w:val="(%1)"/>
      <w:numFmt w:val="lowerLetter"/>
      <w:start w:val="3"/>
    </w:lvl>
  </w:abstractNum>
  <w:abstractNum w:abstractNumId="86">
    <w:nsid w:val="3222E7CD"/>
    <w:multiLevelType w:val="hybridMultilevel"/>
    <w:lvl w:ilvl="0">
      <w:lvlJc w:val="left"/>
      <w:lvlText w:val="(%1)"/>
      <w:numFmt w:val="lowerLetter"/>
      <w:start w:val="1"/>
    </w:lvl>
  </w:abstractNum>
  <w:abstractNum w:abstractNumId="87">
    <w:nsid w:val="74DE0EE3"/>
    <w:multiLevelType w:val="hybridMultilevel"/>
    <w:lvl w:ilvl="0">
      <w:lvlJc w:val="left"/>
      <w:lvlText w:val="(%1)"/>
      <w:numFmt w:val="decimal"/>
      <w:start w:val="1"/>
    </w:lvl>
  </w:abstractNum>
  <w:abstractNum w:abstractNumId="88">
    <w:nsid w:val="68EBC550"/>
    <w:multiLevelType w:val="hybridMultilevel"/>
    <w:lvl w:ilvl="0">
      <w:lvlJc w:val="left"/>
      <w:lvlText w:val="%1."/>
      <w:numFmt w:val="decimal"/>
      <w:start w:val="1"/>
    </w:lvl>
  </w:abstractNum>
  <w:abstractNum w:abstractNumId="89">
    <w:nsid w:val="2DF6D648"/>
    <w:multiLevelType w:val="hybridMultilevel"/>
    <w:lvl w:ilvl="0">
      <w:lvlJc w:val="left"/>
      <w:lvlText w:val="%1."/>
      <w:numFmt w:val="decimal"/>
      <w:start w:val="2"/>
    </w:lvl>
  </w:abstractNum>
  <w:abstractNum w:abstractNumId="90">
    <w:nsid w:val="46B7D44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2019-12-09T01:11:08Z</dcterms:created>
  <dcterms:modified xsi:type="dcterms:W3CDTF">2019-12-09T01:11:08Z</dcterms:modified>
</cp:coreProperties>
</file>