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333-226691</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2"/>
                <w:szCs w:val="12"/>
                <w:b w:val="1"/>
                <w:bCs w:val="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3,105,000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$201,825,000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$25,127.22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hanging="43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405,000 shares that may be purchased by the underwriters upon exercise of their option to purchase additional shares of common stock.</w:t>
      </w:r>
    </w:p>
    <w:p>
      <w:pPr>
        <w:spacing w:after="0" w:line="22" w:lineRule="exact"/>
        <w:rPr>
          <w:rFonts w:ascii="Times New Roman" w:cs="Times New Roman" w:eastAsia="Times New Roman" w:hAnsi="Times New Roman"/>
          <w:sz w:val="18"/>
          <w:szCs w:val="18"/>
          <w:color w:val="auto"/>
        </w:rPr>
      </w:pPr>
    </w:p>
    <w:p>
      <w:pPr>
        <w:ind w:left="640" w:right="60" w:hanging="436"/>
        <w:spacing w:after="0" w:line="253"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456(b) and Rule 457(r) under the Securities Act of 1933, as amended. Pursuant to Rule 415(a)(6) under the Securities Act of 1933, the filing fee is being offset by the fee previously paid with respect to $137,772,500 aggregate amount of unsold securities previously registered in the primary offering under the registrant’s Registration Statement on Form S-3 (File No. 333-215146), which was filed by the registrant on December 16, 2016 and declared effective of January 6, 2017. The balance of the registration fee, $7,974.54, is being paid herewith.</w:t>
      </w:r>
    </w:p>
    <w:p>
      <w:pPr>
        <w:sectPr>
          <w:pgSz w:w="11900" w:h="16838" w:orient="portrait"/>
          <w:cols w:equalWidth="0" w:num="1">
            <w:col w:w="11240"/>
          </w:cols>
          <w:pgMar w:left="240" w:top="226" w:right="41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FF4338"/>
        </w:rPr>
        <w:t>Prospectus Supplement</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FF4338"/>
        </w:rPr>
        <w:t>(To Prospectus dated August 8, 2018)</w:t>
      </w:r>
    </w:p>
    <w:p>
      <w:pPr>
        <w:spacing w:after="0" w:line="1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2,700,000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182245</wp:posOffset>
            </wp:positionV>
            <wp:extent cx="5385435" cy="960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543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255905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200" w:right="100"/>
        <w:spacing w:after="0" w:line="268" w:lineRule="auto"/>
        <w:rPr>
          <w:sz w:val="20"/>
          <w:szCs w:val="20"/>
          <w:color w:val="auto"/>
        </w:rPr>
      </w:pPr>
      <w:r>
        <w:rPr>
          <w:rFonts w:ascii="Times New Roman" w:cs="Times New Roman" w:eastAsia="Times New Roman" w:hAnsi="Times New Roman"/>
          <w:sz w:val="18"/>
          <w:szCs w:val="18"/>
          <w:b w:val="1"/>
          <w:bCs w:val="1"/>
          <w:color w:val="auto"/>
        </w:rPr>
        <w:t>We are offering 2,700,000 shares of our common stock pursuant to this prospectus supplement. Our common stock is listed for trading on The Nasdaq Global Select Market under the symbol “RGNX.” On August 9, 2018, the closing sales price of our common stock on The Nasdaq Global Select Market was $66.70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We are an “emerging growth company” under the federal securities laws and are subject to reduced public company reporting requirements.</w:t>
      </w:r>
    </w:p>
    <w:p>
      <w:pPr>
        <w:spacing w:after="0" w:line="216" w:lineRule="exact"/>
        <w:rPr>
          <w:sz w:val="20"/>
          <w:szCs w:val="20"/>
          <w:color w:val="auto"/>
        </w:rPr>
      </w:pPr>
    </w:p>
    <w:p>
      <w:pPr>
        <w:ind w:left="20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significant risks. Please carefully consider the risks discussed in “</w:t>
      </w:r>
      <w:hyperlink w:anchor="page14">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S-8 of this prospectus supplement and in our filings with the Securities and Exchange Commission, or SEC, that are incorporated by reference in this prospectus supplement before making a decision to invest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215265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175,500,000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r>
              <w:rPr>
                <w:rFonts w:ascii="Times New Roman" w:cs="Times New Roman" w:eastAsia="Times New Roman" w:hAnsi="Times New Roman"/>
                <w:sz w:val="15"/>
                <w:szCs w:val="15"/>
                <w:color w:val="auto"/>
              </w:rPr>
              <w:t>(1)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164,970,000</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4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4" w:lineRule="exact"/>
        <w:rPr>
          <w:sz w:val="20"/>
          <w:szCs w:val="20"/>
          <w:color w:val="auto"/>
        </w:rPr>
      </w:pPr>
    </w:p>
    <w:p>
      <w:pPr>
        <w:ind w:left="640" w:hanging="43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underwriters for certain FINRA-related offering expenses. See “Underwriters.”</w:t>
      </w:r>
    </w:p>
    <w:p>
      <w:pPr>
        <w:spacing w:after="0" w:line="225" w:lineRule="exact"/>
        <w:rPr>
          <w:sz w:val="20"/>
          <w:szCs w:val="20"/>
          <w:color w:val="auto"/>
        </w:rPr>
      </w:pPr>
    </w:p>
    <w:p>
      <w:pPr>
        <w:ind w:left="200" w:right="28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405,000 shares of our common stock at the public offering price, less the underwriting discounts and commissions, within 30 days from the date of this prospectus supplement.</w:t>
      </w:r>
    </w:p>
    <w:p>
      <w:pPr>
        <w:spacing w:after="0" w:line="158" w:lineRule="exact"/>
        <w:rPr>
          <w:sz w:val="20"/>
          <w:szCs w:val="20"/>
          <w:color w:val="auto"/>
        </w:rPr>
      </w:pPr>
    </w:p>
    <w:p>
      <w:pPr>
        <w:ind w:left="200" w:right="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against payment on or about August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60"/>
        <w:spacing w:after="0"/>
        <w:tabs>
          <w:tab w:leader="none" w:pos="4700" w:val="left"/>
          <w:tab w:leader="none" w:pos="8980" w:val="left"/>
        </w:tabs>
        <w:rPr>
          <w:sz w:val="20"/>
          <w:szCs w:val="20"/>
          <w:color w:val="auto"/>
        </w:rPr>
      </w:pPr>
      <w:r>
        <w:rPr>
          <w:rFonts w:ascii="Times New Roman" w:cs="Times New Roman" w:eastAsia="Times New Roman" w:hAnsi="Times New Roman"/>
          <w:sz w:val="25"/>
          <w:szCs w:val="25"/>
          <w:b w:val="1"/>
          <w:bCs w:val="1"/>
          <w:color w:val="auto"/>
        </w:rPr>
        <w:t>Morgan Stanley</w:t>
      </w:r>
      <w:r>
        <w:rPr>
          <w:sz w:val="20"/>
          <w:szCs w:val="20"/>
          <w:color w:val="auto"/>
        </w:rPr>
        <w:tab/>
      </w:r>
      <w:r>
        <w:rPr>
          <w:rFonts w:ascii="Times New Roman" w:cs="Times New Roman" w:eastAsia="Times New Roman" w:hAnsi="Times New Roman"/>
          <w:sz w:val="25"/>
          <w:szCs w:val="25"/>
          <w:b w:val="1"/>
          <w:bCs w:val="1"/>
          <w:color w:val="auto"/>
        </w:rPr>
        <w:t>BofA Merrill Lynch</w:t>
      </w:r>
      <w:r>
        <w:rPr>
          <w:sz w:val="20"/>
          <w:szCs w:val="20"/>
          <w:color w:val="auto"/>
        </w:rPr>
        <w:tab/>
      </w:r>
      <w:r>
        <w:rPr>
          <w:rFonts w:ascii="Times New Roman" w:cs="Times New Roman" w:eastAsia="Times New Roman" w:hAnsi="Times New Roman"/>
          <w:sz w:val="24"/>
          <w:szCs w:val="24"/>
          <w:b w:val="1"/>
          <w:bCs w:val="1"/>
          <w:color w:val="auto"/>
        </w:rPr>
        <w:t>Barclays</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Raymond James</w:t>
      </w: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9, 2018.</w:t>
      </w:r>
    </w:p>
    <w:p>
      <w:pPr>
        <w:sectPr>
          <w:pgSz w:w="11900" w:h="16838" w:orient="portrait"/>
          <w:cols w:equalWidth="0" w:num="1">
            <w:col w:w="11180"/>
          </w:cols>
          <w:pgMar w:left="240" w:top="455" w:right="4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00" w:type="dxa"/>
            <w:vAlign w:val="bottom"/>
            <w:gridSpan w:val="2"/>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00" w:type="dxa"/>
            <w:vAlign w:val="bottom"/>
            <w:gridSpan w:val="2"/>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80" w:type="dxa"/>
            <w:vAlign w:val="bottom"/>
            <w:gridSpan w:val="14"/>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About this Prospectus Supplement</w:t>
              </w:r>
            </w:hyperlink>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80" w:type="dxa"/>
            <w:vAlign w:val="bottom"/>
            <w:gridSpan w:val="14"/>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gridSpan w:val="1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Special Note Regarding Forward-Looking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Prospectus Supplement Summary</w:t>
              </w:r>
            </w:hyperlink>
          </w:p>
        </w:tc>
        <w:tc>
          <w:tcPr>
            <w:tcW w:w="1400" w:type="dxa"/>
            <w:vAlign w:val="bottom"/>
            <w:tcBorders>
              <w:top w:val="single" w:sz="8" w:color="0000EE"/>
            </w:tcBorders>
            <w:gridSpan w:val="3"/>
          </w:tcPr>
          <w:p>
            <w:pPr>
              <w:spacing w:after="0"/>
              <w:rPr>
                <w:sz w:val="17"/>
                <w:szCs w:val="17"/>
                <w:color w:val="auto"/>
              </w:rPr>
            </w:pPr>
          </w:p>
        </w:tc>
        <w:tc>
          <w:tcPr>
            <w:tcW w:w="67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80" w:type="dxa"/>
            <w:vAlign w:val="bottom"/>
            <w:gridSpan w:val="14"/>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The Offering</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Risk Factors</w:t>
              </w:r>
            </w:hyperlink>
          </w:p>
        </w:tc>
        <w:tc>
          <w:tcPr>
            <w:tcW w:w="964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Use of Proceeds</w:t>
              </w:r>
            </w:hyperlink>
          </w:p>
        </w:tc>
        <w:tc>
          <w:tcPr>
            <w:tcW w:w="94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6">
              <w:r>
                <w:rPr>
                  <w:rFonts w:ascii="Times New Roman" w:cs="Times New Roman" w:eastAsia="Times New Roman" w:hAnsi="Times New Roman"/>
                  <w:sz w:val="18"/>
                  <w:szCs w:val="18"/>
                  <w:color w:val="0000EE"/>
                  <w:w w:val="98"/>
                </w:rPr>
                <w:t>Capitalization</w:t>
              </w:r>
            </w:hyperlink>
          </w:p>
        </w:tc>
        <w:tc>
          <w:tcPr>
            <w:tcW w:w="95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580" w:type="dxa"/>
            <w:vAlign w:val="bottom"/>
            <w:gridSpan w:val="14"/>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Dilution</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4"/>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Price Range of Common Stock</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Dividend Policy</w:t>
              </w:r>
            </w:hyperlink>
          </w:p>
        </w:tc>
        <w:tc>
          <w:tcPr>
            <w:tcW w:w="1060" w:type="dxa"/>
            <w:vAlign w:val="bottom"/>
            <w:tcBorders>
              <w:top w:val="single" w:sz="8" w:color="0000EE"/>
            </w:tcBorders>
          </w:tcPr>
          <w:p>
            <w:pPr>
              <w:spacing w:after="0"/>
              <w:rPr>
                <w:sz w:val="17"/>
                <w:szCs w:val="17"/>
                <w:color w:val="auto"/>
              </w:rPr>
            </w:pPr>
          </w:p>
        </w:tc>
        <w:tc>
          <w:tcPr>
            <w:tcW w:w="834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Material U.S. Federal Income Tax Considerations for Non-U.S. Holders of Common Stock</w:t>
              </w:r>
            </w:hyperlink>
          </w:p>
        </w:tc>
        <w:tc>
          <w:tcPr>
            <w:tcW w:w="40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Underwriters</w:t>
              </w:r>
            </w:hyperlink>
          </w:p>
        </w:tc>
        <w:tc>
          <w:tcPr>
            <w:tcW w:w="962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10580" w:type="dxa"/>
            <w:vAlign w:val="bottom"/>
            <w:gridSpan w:val="14"/>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Experts</w:t>
              </w:r>
            </w:hyperlink>
          </w:p>
        </w:tc>
        <w:tc>
          <w:tcPr>
            <w:tcW w:w="400" w:type="dxa"/>
            <w:vAlign w:val="bottom"/>
            <w:tcBorders>
              <w:top w:val="single" w:sz="8" w:color="0000EE"/>
            </w:tcBorders>
            <w:gridSpan w:val="4"/>
          </w:tcPr>
          <w:p>
            <w:pPr>
              <w:spacing w:after="0"/>
              <w:rPr>
                <w:sz w:val="17"/>
                <w:szCs w:val="17"/>
                <w:color w:val="auto"/>
              </w:rPr>
            </w:pPr>
          </w:p>
        </w:tc>
        <w:tc>
          <w:tcPr>
            <w:tcW w:w="958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Where You Can Find More Information</w:t>
              </w:r>
            </w:hyperlink>
          </w:p>
        </w:tc>
        <w:tc>
          <w:tcPr>
            <w:tcW w:w="77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196"/>
        </w:trPr>
        <w:tc>
          <w:tcPr>
            <w:tcW w:w="10580" w:type="dxa"/>
            <w:vAlign w:val="bottom"/>
            <w:gridSpan w:val="14"/>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Incorporation of Documents By Reference</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345"/>
        </w:trPr>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67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4"/>
        </w:trPr>
        <w:tc>
          <w:tcPr>
            <w:tcW w:w="105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0580" w:type="dxa"/>
            <w:vAlign w:val="bottom"/>
            <w:gridSpan w:val="14"/>
            <w:vMerge w:val="continue"/>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Information Incorporated by Reference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Company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Ratio of Earnings to Fixed Charges and Ratio of Earnings to Combined Fixed Charges and Preferred Stock Dividends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Description of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Selling Stockholders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10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Experts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24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common stock and updates the information contained in the accompanying prospectus and the documents incorporated by reference herein and therein. The second part is the accompanying prospectus, which provides more general information, some of which does not apply to this offering. To the extent the information contained in this prospectus supplement differs or varies from the information contained in the accompanying prospectus or documents previously filed with the SEC that are incorporated by reference herein, the information in this prospectus supplement will supersede such information. For a more detailed understanding of an investment in our common stock, you should read both this prospectus supplement and the accompanying prospectus, together with additional information described under the heading “Where You Can Find More Information.”</w:t>
      </w:r>
    </w:p>
    <w:p>
      <w:pPr>
        <w:spacing w:after="0" w:line="189"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on Form S-3 that we filed with the SEC on August 8, 2018. Under the shelf registration process, we may from time to time offer and sell any combination of the securities described in the accompanying prospectus in one or more offerings. In addition, under our shelf registration statement certain of our stockholders may from time to time offer and sell up to an aggregate of 5,057,458 shares of our common stock in one or more offerings.</w:t>
      </w:r>
    </w:p>
    <w:p>
      <w:pPr>
        <w:spacing w:after="0" w:line="176"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you with information that is different or in addition to that contained or incorporated by reference in this prospectus supplement, the accompanying prospectus or any free writing prospectus prepared by us or on our behalf. Neither we nor the underwriters take any responsibility for, and can provide no assurance as to the reliability of, any information that others may give. Neither we nor the underwriters are making an offer to sell or soliciting an offer to buy our common stock under any circumstance in any jurisdiction where the offer or solicitation is not permitted. You should not assume that the information in this prospectus supplement, the accompanying prospectus and any free writing prospectus is accurate as of any date other than the respective date of each of those documents, or that any information in documents that we have incorporated by reference is accurate as of any date other than the date of the document incorporated by reference, regardless of the time of delivery of this prospectus supplement or any sale of shares of our common stock hereunder. Our business, financial condition, results of operations and prospects may have changed since those dates.</w:t>
      </w:r>
    </w:p>
    <w:p>
      <w:pPr>
        <w:spacing w:after="0" w:line="186"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and therein by reference includes trademarks, service marks and trade names owned by us or other companies. NAV and REGENXBIO are our registered trademarks. All trademarks, service marks and trade names included or incorporated by reference into this prospectus supplement or the accompanying prospectus are the property of their respective owners.</w:t>
      </w:r>
    </w:p>
    <w:p>
      <w:pPr>
        <w:spacing w:after="0" w:line="180"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supplement and the accompanying prospectus the terms “REGENXBIO,” “we,” “us” and “our” refer to REGENXBIO Inc., a Delaware corporation.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24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and therein by reference contain “forward-looking statements” within the meaning of Section 27A of the Securities Act of 1933, or the Securities Act, and Section 21E of the Securities Exchange Act of 1934, or the Exchange Act, which are subject to the safe harbor created by those sections for such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assumptions and other important factors, including those described in this prospectus supplement, the accompanying prospectus and the documents incorporated herein and therein by reference, particularly in the sections of such documents titled “Risk Factors” and “Management’s Discussion and Analysis of Financial Condition and Results of Operations”. In light of these risks, uncertainties, assumptions and other factors, the forward-looking events and circumstances discussed in this prospectus supplement, the accompanying prospectus and the information incorporated by reference herein and therein may not occur, and actual results could differ materially and adversely from those anticipated or implied in the forward-looking statements. Given these uncertainties, you should not place undue reliance on these forward-looking statements.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31" w:lineRule="exact"/>
        <w:rPr>
          <w:sz w:val="20"/>
          <w:szCs w:val="20"/>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enrollment, commencement and completion and the success of clinical trials conducted by us, our licensees and our partners;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commencement and completion and the success of preclinical studies conducted by us and our development partners;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development and launch of new products;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regulatory approval of our product candidates, and the labeling for any approved products;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and costs of developing and commercializing our product candidates;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and technology;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competition;</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trends and challenges in our business and the market in which we operate;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retain key personnel;</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the ability to serve those markets;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of our product candidates;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development partnerships;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expenses and revenue;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developments in the United States and foreign countries;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sufficiency of our cash and cash equivalents and needs for additional financing.</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40"/>
          </w:cols>
          <w:pgMar w:left="240" w:top="455" w:right="5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 of activity, performance or achievements. Any forward-looking statement made by us in this prospectus supplement, the accompanying prospectus, and the information incorporated herein and therein by reference speaks only as of the date of the respective document. Except as required by law, we disclaim any duty to update any of these forward-looking statements after the date such statements are made, or to update the reasons actual results could differ materially from those anticipated in these forward-looking statements, even if new information becomes available in the future.</w:t>
      </w:r>
    </w:p>
    <w:p>
      <w:pPr>
        <w:spacing w:after="0" w:line="184"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information incorporated herein and therein by reference, and the documents that have been filed as exhibits to the registration statement of which this prospectus supplement is a part completely and with the understanding that our actual future results may be materially different from what we expect.</w:t>
      </w:r>
    </w:p>
    <w:p>
      <w:pPr>
        <w:spacing w:after="0" w:line="176"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All written and verbal forward-looking statements attributable to us or any person acting on our behalf are expressly qualified in their entirety by the cautionary statements contained or referred to in this section. We caution investors not to rely too heavily on the forward-looking statements we make or that are made on our behalf.</w:t>
      </w:r>
    </w:p>
    <w:p>
      <w:pPr>
        <w:spacing w:after="0" w:line="176"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addition, you should refer to the section of this prospectus supplement entitled “Risk Factors” as well as the “Risk Factors” disclosed in the documents we have incorporated by reference, for a discussion of other important factors that may cause our actual results to differ materially from those expressed or implied by our forward-looking statements. As a result of these factors, we cannot assure you that the forward-looking statements in this prospectus supplement, the accompanying prospectus, or the information incorporated herein and therein will prove to be accurate. Furthermore, if our forward-looking statements prove to be inaccurate, the inaccuracy may be material. In light of the significant uncertainties to which these forward-looking statements are subject, you should not regard these statements as a representation or warranty by us or any other person that we will achieve our objectives and plans in any specified time frame, or at all.</w:t>
      </w:r>
    </w:p>
    <w:p>
      <w:pPr>
        <w:spacing w:after="0" w:line="200" w:lineRule="exact"/>
        <w:rPr>
          <w:sz w:val="20"/>
          <w:szCs w:val="20"/>
          <w:color w:val="auto"/>
        </w:rPr>
      </w:pPr>
    </w:p>
    <w:p>
      <w:pPr>
        <w:spacing w:after="0" w:line="2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80"/>
          </w:cols>
          <w:pgMar w:left="24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161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80" w:right="1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and the accompanying prospectus. It does not contain all of the information you should consider before making an investment decision. Before you decide to invest in our securities, you should read the entire prospectus supplement and the accompanying prospectus carefully, including the risk factors and the financial statements and related notes incorporated by reference herein and therein.</w:t>
      </w:r>
    </w:p>
    <w:p>
      <w:pPr>
        <w:spacing w:after="0" w:line="2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left="380" w:right="240" w:firstLine="426"/>
        <w:spacing w:after="0" w:line="261" w:lineRule="auto"/>
        <w:rPr>
          <w:sz w:val="20"/>
          <w:szCs w:val="20"/>
          <w:color w:val="auto"/>
        </w:rPr>
      </w:pPr>
      <w:r>
        <w:rPr>
          <w:rFonts w:ascii="Times New Roman" w:cs="Times New Roman" w:eastAsia="Times New Roman" w:hAnsi="Times New Roman"/>
          <w:sz w:val="18"/>
          <w:szCs w:val="18"/>
          <w:color w:val="auto"/>
        </w:rPr>
        <w:t>We are a leading clinical-stage biotechnology company seeking to improve lives through the curative potential of gene therapy. Our gene therapy product candidates are designed to deliver genes to cells to address genetic defects or to enable cells in the body to produce therapeutic proteins that are intended to impact disease. Through a single administration, our gene therapy product candidates are designed to provide long-lasting effects, potentially significantly altering the course of disease and delivering improved patient outcomes.</w:t>
      </w:r>
    </w:p>
    <w:p>
      <w:pPr>
        <w:spacing w:after="0" w:line="180" w:lineRule="exact"/>
        <w:rPr>
          <w:sz w:val="20"/>
          <w:szCs w:val="20"/>
          <w:color w:val="auto"/>
        </w:rPr>
      </w:pPr>
    </w:p>
    <w:p>
      <w:pPr>
        <w:ind w:left="380" w:right="200" w:firstLine="426"/>
        <w:spacing w:after="0" w:line="258" w:lineRule="auto"/>
        <w:rPr>
          <w:sz w:val="20"/>
          <w:szCs w:val="20"/>
          <w:color w:val="auto"/>
        </w:rPr>
      </w:pPr>
      <w:r>
        <w:rPr>
          <w:rFonts w:ascii="Times New Roman" w:cs="Times New Roman" w:eastAsia="Times New Roman" w:hAnsi="Times New Roman"/>
          <w:sz w:val="18"/>
          <w:szCs w:val="18"/>
          <w:color w:val="auto"/>
        </w:rPr>
        <w:t>We are seeking to develop, manufacture, commercialize and license product candidates across multiple therapeutic areas and target organs while continuing to expand our proprietary gene delivery platform, which we call our NAV Technology Platform. We seek to accomplish this through a combination of our internal product development efforts and selective licensing to other leading biotechnology companies, which we refer to as NAV Technology Licensees. We and our NAV Technology Licensees are applying the NAV Technology Platform to develop a broad pipeline of product candidates in multiple therapeutic areas.</w:t>
      </w:r>
    </w:p>
    <w:p>
      <w:pPr>
        <w:spacing w:after="0" w:line="2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Our NAV Gene Therapy Product Candidates</w:t>
      </w:r>
    </w:p>
    <w:p>
      <w:pPr>
        <w:spacing w:after="0" w:line="121" w:lineRule="exact"/>
        <w:rPr>
          <w:sz w:val="20"/>
          <w:szCs w:val="20"/>
          <w:color w:val="auto"/>
        </w:rPr>
      </w:pPr>
    </w:p>
    <w:p>
      <w:pPr>
        <w:ind w:left="380" w:right="40" w:firstLine="426"/>
        <w:spacing w:after="0" w:line="274" w:lineRule="auto"/>
        <w:rPr>
          <w:sz w:val="20"/>
          <w:szCs w:val="20"/>
          <w:color w:val="auto"/>
        </w:rPr>
      </w:pPr>
      <w:r>
        <w:rPr>
          <w:rFonts w:ascii="Times New Roman" w:cs="Times New Roman" w:eastAsia="Times New Roman" w:hAnsi="Times New Roman"/>
          <w:sz w:val="17"/>
          <w:szCs w:val="17"/>
          <w:color w:val="auto"/>
        </w:rPr>
        <w:t>Our gene therapy product candidates deliver genes to cells using adeno-associated virus, or AAV, vectors, which are non-replicating viral delivery vehicles that are not known to cause disease. Our product candidates all utilize viral vectors from our NAV Technology Platform, which consists of exclusive rights to AAV7, AAV8, AAV9, AAVrh10 and over 100 other novel AAV vectors, or NAV Vectors. We currently have exclusive rights to over 100 patents and patent applications worldwide covering our NAV Vectors, including composition of matter claims for AAV7, AAV8, AAV9 and AAVrh10, as well as methods for their manufacture and therapeutic uses. We believe this patent portfolio forms a strong foundation for our current programs and with our ongoing research and development, we expect to continue to expand this robust patent portfolio.</w:t>
      </w:r>
    </w:p>
    <w:p>
      <w:pPr>
        <w:spacing w:after="0" w:line="174" w:lineRule="exact"/>
        <w:rPr>
          <w:sz w:val="20"/>
          <w:szCs w:val="20"/>
          <w:color w:val="auto"/>
        </w:rPr>
      </w:pPr>
    </w:p>
    <w:p>
      <w:pPr>
        <w:ind w:left="380" w:firstLine="426"/>
        <w:spacing w:after="0" w:line="266" w:lineRule="auto"/>
        <w:rPr>
          <w:sz w:val="20"/>
          <w:szCs w:val="20"/>
          <w:color w:val="auto"/>
        </w:rPr>
      </w:pPr>
      <w:r>
        <w:rPr>
          <w:rFonts w:ascii="Times New Roman" w:cs="Times New Roman" w:eastAsia="Times New Roman" w:hAnsi="Times New Roman"/>
          <w:sz w:val="18"/>
          <w:szCs w:val="18"/>
          <w:color w:val="auto"/>
        </w:rPr>
        <w:t>The foundation of our NAV Technology Platform was discovered in an effort to identify next generation AAV vectors that could overcome the limitations of earlier generation AAV vectors (AAV1 through AAV6). We believe the key benefits of NAV Vectors over earlier generation AAV vectors include:</w:t>
      </w:r>
    </w:p>
    <w:p>
      <w:pPr>
        <w:spacing w:after="0" w:line="82" w:lineRule="exact"/>
        <w:rPr>
          <w:sz w:val="20"/>
          <w:szCs w:val="20"/>
          <w:color w:val="auto"/>
        </w:rPr>
      </w:pPr>
    </w:p>
    <w:p>
      <w:pPr>
        <w:ind w:left="1220" w:hanging="307"/>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gene expression;</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gene expression;</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and novel tissue selectivity;</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immune response; and</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manufacturability.</w:t>
      </w:r>
    </w:p>
    <w:p>
      <w:pPr>
        <w:spacing w:after="0" w:line="225" w:lineRule="exact"/>
        <w:rPr>
          <w:sz w:val="20"/>
          <w:szCs w:val="20"/>
          <w:color w:val="auto"/>
        </w:rPr>
      </w:pPr>
    </w:p>
    <w:p>
      <w:pPr>
        <w:ind w:left="380" w:right="540" w:firstLine="426"/>
        <w:spacing w:after="0" w:line="282" w:lineRule="auto"/>
        <w:rPr>
          <w:sz w:val="20"/>
          <w:szCs w:val="20"/>
          <w:color w:val="auto"/>
        </w:rPr>
      </w:pPr>
      <w:r>
        <w:rPr>
          <w:rFonts w:ascii="Times New Roman" w:cs="Times New Roman" w:eastAsia="Times New Roman" w:hAnsi="Times New Roman"/>
          <w:sz w:val="18"/>
          <w:szCs w:val="18"/>
          <w:color w:val="auto"/>
        </w:rPr>
        <w:t>We have developed an internal pipeline of product candidates across the therapeutic areas of retinal, metabolic and neurodegenerative diseases. Below is a table summarizing our current internal development programs.</w:t>
      </w:r>
    </w:p>
    <w:p>
      <w:pPr>
        <w:spacing w:after="0" w:line="200" w:lineRule="exact"/>
        <w:rPr>
          <w:sz w:val="20"/>
          <w:szCs w:val="20"/>
          <w:color w:val="auto"/>
        </w:rPr>
      </w:pPr>
    </w:p>
    <w:p>
      <w:pPr>
        <w:spacing w:after="0" w:line="3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80"/>
          </w:cols>
          <w:pgMar w:left="240" w:top="455" w:right="6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733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733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right="80" w:firstLine="426"/>
        <w:spacing w:after="0" w:line="261" w:lineRule="auto"/>
        <w:rPr>
          <w:sz w:val="20"/>
          <w:szCs w:val="20"/>
          <w:color w:val="auto"/>
        </w:rPr>
      </w:pPr>
      <w:r>
        <w:rPr>
          <w:rFonts w:ascii="Times New Roman" w:cs="Times New Roman" w:eastAsia="Times New Roman" w:hAnsi="Times New Roman"/>
          <w:sz w:val="18"/>
          <w:szCs w:val="18"/>
          <w:color w:val="auto"/>
        </w:rPr>
        <w:t>Our lead product candidate RGX-314 is for the treatment of wet age-related macular degeneration, or wet AMD, a leading cause of total and partial vision loss in the United States, Europe and Japan. We began enrollment in the Phase I clinical trial for RGX-314 for the treatment of wet AMD in May 2017 and have completed dosing of three cohorts of six subjects each, a total of 18 subjects. We expect to complete dosing of a fourth cohort by the end of the fourth quarter of 2018 and initiate a Phase II trial in 2019.</w:t>
      </w:r>
    </w:p>
    <w:p>
      <w:pPr>
        <w:spacing w:after="0" w:line="180" w:lineRule="exact"/>
        <w:rPr>
          <w:sz w:val="20"/>
          <w:szCs w:val="20"/>
          <w:color w:val="auto"/>
        </w:rPr>
      </w:pPr>
    </w:p>
    <w:p>
      <w:pPr>
        <w:ind w:left="380" w:right="60" w:firstLine="426"/>
        <w:spacing w:after="0" w:line="258" w:lineRule="auto"/>
        <w:rPr>
          <w:sz w:val="20"/>
          <w:szCs w:val="20"/>
          <w:color w:val="auto"/>
        </w:rPr>
      </w:pPr>
      <w:r>
        <w:rPr>
          <w:rFonts w:ascii="Times New Roman" w:cs="Times New Roman" w:eastAsia="Times New Roman" w:hAnsi="Times New Roman"/>
          <w:sz w:val="18"/>
          <w:szCs w:val="18"/>
          <w:color w:val="auto"/>
        </w:rPr>
        <w:t>We are developing RGX-501 for the treatment of homozygous familial hypercholesterolemia, or HoFH, a severe genetic disease characterized by premature and aggressive plaque buildup, life threatening coronary artery disease and aortic valve disease predominantly due to abnormalities in the function or expression of the low-density lipoprotein receptor. Enrollment in the Phase I/II clinical trial for RGX-501 began in March 2017. We have completed dosing of the first cohort of three subjects and have dosed three subjects in the second cohort, a total of six subjects. We expect to present additional data in the fourth quarter of 2018.</w:t>
      </w:r>
    </w:p>
    <w:p>
      <w:pPr>
        <w:spacing w:after="0" w:line="184" w:lineRule="exact"/>
        <w:rPr>
          <w:sz w:val="20"/>
          <w:szCs w:val="20"/>
          <w:color w:val="auto"/>
        </w:rPr>
      </w:pPr>
    </w:p>
    <w:p>
      <w:pPr>
        <w:ind w:left="380" w:firstLine="426"/>
        <w:spacing w:after="0" w:line="255" w:lineRule="auto"/>
        <w:rPr>
          <w:sz w:val="20"/>
          <w:szCs w:val="20"/>
          <w:color w:val="auto"/>
        </w:rPr>
      </w:pPr>
      <w:r>
        <w:rPr>
          <w:rFonts w:ascii="Times New Roman" w:cs="Times New Roman" w:eastAsia="Times New Roman" w:hAnsi="Times New Roman"/>
          <w:sz w:val="18"/>
          <w:szCs w:val="18"/>
          <w:color w:val="auto"/>
        </w:rPr>
        <w:t>We are also developing product candidates to address the neurological symptoms of two severe genetic lysosomal storage diseases, Mucopolysaccharidosis Type I, or MPS I, and Mucopolysaccharidosis Type II, or MPS II. MPS I is caused by deficiency of α-l-iduronidase, or IDUA and MPS II is caused by deficiency of iduronate-2-sulfatase, or IDS, both of which are enzymes that are responsible for breakdown of cellular waste products. Deficiencies in these enzymes lead to a number of physical symptoms and patients with severe forms of these diseases also exhibit significant cognitive decline. The investigational new drug applications, or INDs, filed with the U.S. Food and Drug Administration, or FDA, for RGX-111 and RGX-121, our product candidates for MPS I and MPS II, respectively, are active. We expect to begin enrollment in a Phase I clinical trial for RGX-111 and a Phase I/II clinical trial for RGX-121 in the fourth quarter of 2018.</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Interim Data Update for RGX-314</w:t>
      </w:r>
    </w:p>
    <w:p>
      <w:pPr>
        <w:spacing w:after="0" w:line="121" w:lineRule="exact"/>
        <w:rPr>
          <w:sz w:val="20"/>
          <w:szCs w:val="20"/>
          <w:color w:val="auto"/>
        </w:rPr>
      </w:pPr>
    </w:p>
    <w:p>
      <w:pPr>
        <w:ind w:left="380" w:right="60" w:firstLine="426"/>
        <w:spacing w:after="0" w:line="256" w:lineRule="auto"/>
        <w:rPr>
          <w:sz w:val="20"/>
          <w:szCs w:val="20"/>
          <w:color w:val="auto"/>
        </w:rPr>
      </w:pPr>
      <w:r>
        <w:rPr>
          <w:rFonts w:ascii="Times New Roman" w:cs="Times New Roman" w:eastAsia="Times New Roman" w:hAnsi="Times New Roman"/>
          <w:sz w:val="18"/>
          <w:szCs w:val="18"/>
          <w:color w:val="auto"/>
        </w:rPr>
        <w:t>In our Phase I trial for RGX-314, 18 subjects with wet AMD received a single administration of RGX-314 across three cohorts (six participants in each cohort). To qualify for inclusion in the trial, participants were required to have a history of frequent anti-vascular endothelial growth factor, or VEGF, treatment (including at least four anti-VEGF injections in the eight months preceding trial enrollment) and a documented history of response to anti-VEGF therapy. The trial design included doses of 3 x 10^9 (Cohort 1), 1 x 10^10 (Cohort 2) and 6 x 10^10 (Cohort 3) genome copies, or GC, /eye. Subjects have been assessed every month to the six-month primary endpoint, with long-term follow-up continuing for 24 months. Below is a summary of the preliminary results of our Phase 1 trial as of July 27, 2018:</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20"/>
          </w:cols>
          <w:pgMar w:left="24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144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line="258" w:lineRule="auto"/>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have been followed for an average of 11 months for Cohort 1, nine months for Cohort 2 and six months for Cohort 3. Dose-dependent protein expression levels, dose-dependent reduction in anti-VEGF injections and maintenance of central retinal thickness, or CRT, by spectral domain optical coherence tomography, or SD-OCT, have been reported across all cohorts. Additionally, through month six, Best Corrected Visual Acuity, or BCVA, assessments for subjects in Cohort 3 have a mean improvement in visual acuity. Three subjects from Cohort 3 have been free of anti-VEGF injections since the administration of RGX-314.</w:t>
      </w:r>
    </w:p>
    <w:p>
      <w:pPr>
        <w:spacing w:after="0" w:line="89" w:lineRule="exact"/>
        <w:rPr>
          <w:rFonts w:ascii="Times New Roman" w:cs="Times New Roman" w:eastAsia="Times New Roman" w:hAnsi="Times New Roman"/>
          <w:sz w:val="18"/>
          <w:szCs w:val="18"/>
          <w:color w:val="auto"/>
        </w:rPr>
      </w:pPr>
    </w:p>
    <w:p>
      <w:pPr>
        <w:ind w:left="1220" w:right="40" w:hanging="307"/>
        <w:spacing w:after="0" w:line="255" w:lineRule="auto"/>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RGX-314 was well-tolerated by all subjects with no reported drug-related adverse events, or AEs, or drug-related serious adverse events, or SAEs. The most common AEs in all dose cohorts were those assessed as mild (Grade 1, 83%) and there have been no observed immune responses, drug-related ocular inflammation or any post-surgical inflammation beyond what is expected following routine vitrectomy. Five SAEs that were not drug-related were reported among three subjects. Three SAEs are attributed to one subject in Cohort 1 and the events were assessed as not related to RGX-314. Five months after the administration of RGX-314, this subject was hospitalized after developing symptoms related to a pre-existing condition that led to the subject’s death. One SAE was a procedure-related peripheral retinal detachment that occurred, and was repaired with a scleral buckle and resolved without significant sequelae. The other SAE was assessed as mild in severity with no relationship to RGX-314.</w:t>
      </w:r>
    </w:p>
    <w:p>
      <w:pPr>
        <w:spacing w:after="0" w:line="90" w:lineRule="exact"/>
        <w:rPr>
          <w:rFonts w:ascii="Times New Roman" w:cs="Times New Roman" w:eastAsia="Times New Roman" w:hAnsi="Times New Roman"/>
          <w:sz w:val="18"/>
          <w:szCs w:val="18"/>
          <w:color w:val="auto"/>
        </w:rPr>
      </w:pPr>
    </w:p>
    <w:p>
      <w:pPr>
        <w:ind w:left="1220" w:hanging="307"/>
        <w:spacing w:after="0" w:line="253" w:lineRule="auto"/>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RGX-314 protein expression has been detected in all subjects treated to date. Dose-dependent increases in RGX-314 protein expression levels, or Protein Levels, as measured from aqueous samples by enzyme-linked immunosorbent assay, or ELISA, at approximately one month after administration of RGX-314, have been observed. The number of anti-VEGF injections required following the administration of RGX-314 through six months was lowest in Cohort 3. We compared the number of anti-VEGF injections each subject had received during the six months prior to their most recent anti-VEGF injection preceding their enrollment in the study to the number of anti-VEGF injections received in the six months following RGX-314 administration to understand how the frequency of anti-VEGF injections changed among subjects within each cohort. In Cohort 3, the mean number of anti-VEGF injections received following RGX-314 administration was reduced by 53% when compared to this prior history. Maintenance of CRT, as measured by SD-OCT, from baseline to six months, has been observed in the three dosing cohorts. In Cohort 3, the mean CRT decreased by -14 µm from baseline to six months, with this cohort also receiving fewer anti-VEGF injections on average than Cohorts 1 and 2. BCVA (as measured by Early Treatment Diabetic Retinopathy Study, or ETDRS, letters) from baseline to six months was maintained across all cohorts. Subjects in Cohort 3 experienced a mean gain of +8 ETDRS letters, with this cohort also receiving fewer anti-VEGF injections on average than Cohorts 1 and 2.</w:t>
      </w:r>
    </w:p>
    <w:p>
      <w:pPr>
        <w:spacing w:after="0" w:line="94" w:lineRule="exact"/>
        <w:rPr>
          <w:rFonts w:ascii="Times New Roman" w:cs="Times New Roman" w:eastAsia="Times New Roman" w:hAnsi="Times New Roman"/>
          <w:sz w:val="18"/>
          <w:szCs w:val="18"/>
          <w:color w:val="auto"/>
        </w:rPr>
      </w:pPr>
    </w:p>
    <w:p>
      <w:pPr>
        <w:ind w:left="1220" w:hanging="307"/>
        <w:spacing w:after="0" w:line="255" w:lineRule="auto"/>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signals from clinical measures in Cohort 3 at six months indicate that this may be a clinically meaningful dose which we expect to use in a Phase II trial for wet AMD. Protein Levels at one month after administration of RGX-314 have been highest in Cohort 3, with a mean level over 100 ng/ml. Through six months, the majority of subjects treated in Cohort 3 have required minimal or no anti-VEGF injections, with maintenance of CRT and BCVA assessments showing maintenance or improvements in visual acuity. Through six months, 50% of subjects treated from Cohort 3 were free of anti-VEGF intravitreal injections and have evidence of clinically meaningful measures in mean CRT (-21 µm) and mean BCVA (+8 ETDRS letters) at six months versus baseline and generally higher aqueous protein expression levels, as measured at one month.</w:t>
      </w:r>
    </w:p>
    <w:p>
      <w:pPr>
        <w:spacing w:after="0" w:line="189" w:lineRule="exact"/>
        <w:rPr>
          <w:sz w:val="20"/>
          <w:szCs w:val="20"/>
          <w:color w:val="auto"/>
        </w:rPr>
      </w:pPr>
    </w:p>
    <w:p>
      <w:pPr>
        <w:ind w:left="380" w:right="120" w:firstLine="426"/>
        <w:spacing w:after="0" w:line="261" w:lineRule="auto"/>
        <w:rPr>
          <w:sz w:val="20"/>
          <w:szCs w:val="20"/>
          <w:color w:val="auto"/>
        </w:rPr>
      </w:pPr>
      <w:r>
        <w:rPr>
          <w:rFonts w:ascii="Times New Roman" w:cs="Times New Roman" w:eastAsia="Times New Roman" w:hAnsi="Times New Roman"/>
          <w:sz w:val="18"/>
          <w:szCs w:val="18"/>
          <w:color w:val="auto"/>
        </w:rPr>
        <w:t>Based on RGX-314 being well-tolerated and the dose-dependent effects observed on protein expression, reductions in anti-VEGF injections and improvements in visual acuity, we plan to evaluate the potential benefits of a higher dose of RGX-314. Based on an amendment filed with the FDA, we are cleared to proceed under the current IND with the initiation of dosing of an additional cohort (six participants) at a dose of 1.6 x 10^11 GC/eye (Cohort 4) and the first subject in Cohort 4 has been dosed.</w:t>
      </w:r>
    </w:p>
    <w:p>
      <w:pPr>
        <w:spacing w:after="0" w:line="180" w:lineRule="exact"/>
        <w:rPr>
          <w:sz w:val="20"/>
          <w:szCs w:val="20"/>
          <w:color w:val="auto"/>
        </w:rPr>
      </w:pPr>
    </w:p>
    <w:p>
      <w:pPr>
        <w:ind w:left="380" w:right="140" w:firstLine="426"/>
        <w:spacing w:after="0" w:line="282" w:lineRule="auto"/>
        <w:rPr>
          <w:sz w:val="20"/>
          <w:szCs w:val="20"/>
          <w:color w:val="auto"/>
        </w:rPr>
      </w:pPr>
      <w:r>
        <w:rPr>
          <w:rFonts w:ascii="Times New Roman" w:cs="Times New Roman" w:eastAsia="Times New Roman" w:hAnsi="Times New Roman"/>
          <w:sz w:val="18"/>
          <w:szCs w:val="18"/>
          <w:color w:val="auto"/>
        </w:rPr>
        <w:t>We plan to initiate a Phase II trial for RGX-314 in 2019. Final determination of the study design is under way and we expect to engage with regulatory agencies before the end of 2018.</w:t>
      </w: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020"/>
          </w:cols>
          <w:pgMar w:left="24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175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5175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Interim Data Update for RGX-501</w:t>
      </w:r>
    </w:p>
    <w:p>
      <w:pPr>
        <w:spacing w:after="0" w:line="121" w:lineRule="exact"/>
        <w:rPr>
          <w:sz w:val="20"/>
          <w:szCs w:val="20"/>
          <w:color w:val="auto"/>
        </w:rPr>
      </w:pPr>
    </w:p>
    <w:p>
      <w:pPr>
        <w:ind w:left="380" w:firstLine="426"/>
        <w:spacing w:after="0" w:line="266" w:lineRule="auto"/>
        <w:rPr>
          <w:sz w:val="20"/>
          <w:szCs w:val="20"/>
          <w:color w:val="auto"/>
        </w:rPr>
      </w:pPr>
      <w:r>
        <w:rPr>
          <w:rFonts w:ascii="Times New Roman" w:cs="Times New Roman" w:eastAsia="Times New Roman" w:hAnsi="Times New Roman"/>
          <w:sz w:val="18"/>
          <w:szCs w:val="18"/>
          <w:color w:val="auto"/>
        </w:rPr>
        <w:t>In our Phase I/II trial for HoFH, a total of six subjects with HoFH received a single administration of RGX-501 across two dose cohorts (three participants in each) at doses of 2.5 x 10^12 (Cohort I) and 7.5 x 10^12 (Cohort II) GC/kg body weight, respectively. Below is a summary of the preliminary results of our Phase I/II trial as of July 27, 2018:</w:t>
      </w:r>
    </w:p>
    <w:p>
      <w:pPr>
        <w:spacing w:after="0" w:line="82" w:lineRule="exact"/>
        <w:rPr>
          <w:sz w:val="20"/>
          <w:szCs w:val="20"/>
          <w:color w:val="auto"/>
        </w:rPr>
      </w:pPr>
    </w:p>
    <w:p>
      <w:pPr>
        <w:ind w:left="1220" w:right="60" w:hanging="307"/>
        <w:spacing w:after="0" w:line="272" w:lineRule="auto"/>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have been followed for an average of 63 weeks for Cohort I and 23 weeks for Cohort II. As of July 27, 2018, there have been four SAEs reported during the 52-week active study period, two of which were reported as drug-related. As previously reported in January 2018, one subject in Cohort I experienced a mild transitory activation of the innate immune system accompanied by hypotension and elevation in transaminases approximately 22 hours post dosing that resolved within a day. A second subject in Cohort II experienced transient, asymptomatic elevation in transaminases with a peak ALT of 1469 IU/L. This subject was briefly hospitalized to manage the transaminases and to perform additional assessments. All three subjects in Cohort II experienced an elevation in transaminases 4-6 weeks post-dosing. The peak ALTs were 165, 388, and 1469 IU/L in the three subjects. All three subjects were asymptomatic and responded rapidly to the initiation of prednisone followed by a slow taper, with normalization of the transaminases.</w:t>
      </w:r>
    </w:p>
    <w:p>
      <w:pPr>
        <w:spacing w:after="0" w:line="77" w:lineRule="exact"/>
        <w:rPr>
          <w:rFonts w:ascii="Times New Roman" w:cs="Times New Roman" w:eastAsia="Times New Roman" w:hAnsi="Times New Roman"/>
          <w:sz w:val="17"/>
          <w:szCs w:val="17"/>
          <w:color w:val="auto"/>
        </w:rPr>
      </w:pPr>
    </w:p>
    <w:p>
      <w:pPr>
        <w:ind w:left="1220" w:right="100" w:hanging="307"/>
        <w:spacing w:after="0" w:line="266"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12 weeks, the three subjects in Cohort I did not show a clinically meaningful change in LDL-C levels. We believe that the ability to assess LDL-C levels at 12 weeks in the three subjects in Cohort II may be confounded by the potential effects on the liver and the resulting steroid therapy.</w:t>
      </w:r>
    </w:p>
    <w:p>
      <w:pPr>
        <w:spacing w:after="0" w:line="176" w:lineRule="exact"/>
        <w:rPr>
          <w:sz w:val="20"/>
          <w:szCs w:val="20"/>
          <w:color w:val="auto"/>
        </w:rPr>
      </w:pPr>
    </w:p>
    <w:p>
      <w:pPr>
        <w:ind w:left="380" w:right="120" w:firstLine="426"/>
        <w:spacing w:after="0" w:line="256" w:lineRule="auto"/>
        <w:rPr>
          <w:sz w:val="20"/>
          <w:szCs w:val="20"/>
          <w:color w:val="auto"/>
        </w:rPr>
      </w:pPr>
      <w:r>
        <w:rPr>
          <w:rFonts w:ascii="Times New Roman" w:cs="Times New Roman" w:eastAsia="Times New Roman" w:hAnsi="Times New Roman"/>
          <w:sz w:val="18"/>
          <w:szCs w:val="18"/>
          <w:color w:val="auto"/>
        </w:rPr>
        <w:t>After review of the interim data from both cohorts with an independent Data Safety Monitoring Board, or DSMB, a protocol amendment is expected to be submitted to regulatory agencies that includes changes such as introduction of steroid prophylaxis and the primary evaluation of LDL-C at a later time point, such as 26 weeks, to ensure that steroid therapy has been discontinued. Based on the protocol amendment, we expect Cohort II to be expanded with additional subjects, and include steroid prophylaxis. A third dose cohort is planned, also including steroid prophylaxis, and will be initiated after the additional subjects in Cohort II reach approximately 12 weeks and an independent DSMB review is completed.</w:t>
      </w: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Commercial Licenses to NAV Technology Licensees</w:t>
      </w:r>
    </w:p>
    <w:p>
      <w:pPr>
        <w:spacing w:after="0" w:line="121" w:lineRule="exact"/>
        <w:rPr>
          <w:sz w:val="20"/>
          <w:szCs w:val="20"/>
          <w:color w:val="auto"/>
        </w:rPr>
      </w:pPr>
    </w:p>
    <w:p>
      <w:pPr>
        <w:ind w:left="380" w:right="100" w:firstLine="426"/>
        <w:spacing w:after="0" w:line="256" w:lineRule="auto"/>
        <w:rPr>
          <w:sz w:val="20"/>
          <w:szCs w:val="20"/>
          <w:color w:val="auto"/>
        </w:rPr>
      </w:pPr>
      <w:r>
        <w:rPr>
          <w:rFonts w:ascii="Times New Roman" w:cs="Times New Roman" w:eastAsia="Times New Roman" w:hAnsi="Times New Roman"/>
          <w:sz w:val="18"/>
          <w:szCs w:val="18"/>
          <w:color w:val="auto"/>
        </w:rPr>
        <w:t>We sublicense our NAV Technology Platform to third parties in order to develop and bring to market NAV gene therapy treatments, or NAV Gene Therapy, for a range of severe diseases with significant unmet medical needs. Sublicensing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 Each sublicense specifies the vector or vectors and disease indication or indications as well as whether the sublicense is exclusive or non-exclusive.</w:t>
      </w:r>
    </w:p>
    <w:p>
      <w:pPr>
        <w:spacing w:after="0" w:line="188" w:lineRule="exact"/>
        <w:rPr>
          <w:sz w:val="20"/>
          <w:szCs w:val="20"/>
          <w:color w:val="auto"/>
        </w:rPr>
      </w:pPr>
    </w:p>
    <w:p>
      <w:pPr>
        <w:ind w:left="380" w:right="540" w:firstLine="426"/>
        <w:spacing w:after="0" w:line="282" w:lineRule="auto"/>
        <w:rPr>
          <w:sz w:val="20"/>
          <w:szCs w:val="20"/>
          <w:color w:val="auto"/>
        </w:rPr>
      </w:pPr>
      <w:r>
        <w:rPr>
          <w:rFonts w:ascii="Times New Roman" w:cs="Times New Roman" w:eastAsia="Times New Roman" w:hAnsi="Times New Roman"/>
          <w:sz w:val="18"/>
          <w:szCs w:val="18"/>
          <w:color w:val="auto"/>
        </w:rPr>
        <w:t>As of June 30, 2018, our NAV Technology Licensees had 12 clinical stage programs using NAV Vectors. The chart below provides an overview of the development status of the programs of our NAV Technology Licensees.</w:t>
      </w:r>
    </w:p>
    <w:p>
      <w:pPr>
        <w:spacing w:after="0" w:line="200" w:lineRule="exact"/>
        <w:rPr>
          <w:sz w:val="20"/>
          <w:szCs w:val="20"/>
          <w:color w:val="auto"/>
        </w:rPr>
      </w:pPr>
    </w:p>
    <w:p>
      <w:pPr>
        <w:spacing w:after="0" w:line="3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00"/>
          </w:cols>
          <w:pgMar w:left="24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693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669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80" w:right="140" w:firstLine="426"/>
        <w:spacing w:after="0" w:line="266" w:lineRule="auto"/>
        <w:rPr>
          <w:sz w:val="20"/>
          <w:szCs w:val="20"/>
          <w:color w:val="auto"/>
        </w:rPr>
      </w:pPr>
      <w:r>
        <w:rPr>
          <w:rFonts w:ascii="Times New Roman" w:cs="Times New Roman" w:eastAsia="Times New Roman" w:hAnsi="Times New Roman"/>
          <w:sz w:val="18"/>
          <w:szCs w:val="18"/>
          <w:color w:val="auto"/>
        </w:rPr>
        <w:t>Our mission is to improve lives through the curative potential of gene therapy. We are seeking to develop, manufacture, commercialize and license product candidates across multiple therapeutic areas and target organs while continuing to expand our NAV Technology Platform. To achieve our mission, we are pursuing the following strategies:</w:t>
      </w:r>
    </w:p>
    <w:p>
      <w:pPr>
        <w:spacing w:after="0" w:line="80" w:lineRule="exact"/>
        <w:rPr>
          <w:sz w:val="20"/>
          <w:szCs w:val="20"/>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apply our proprietary, next generation AAV vector technology to develop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therapies for patients;</w:t>
      </w:r>
    </w:p>
    <w:p>
      <w:pPr>
        <w:spacing w:after="0" w:line="132"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rapidly advancing our internal lead proprietary development programs in retinal, metabolic and neurodegenerative diseases;</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gene therapy franchises in and beyond our current core therapeutic areas of retinal, metabolic and neurodegenerative diseases;</w:t>
      </w:r>
    </w:p>
    <w:p>
      <w:pPr>
        <w:spacing w:after="0" w:line="142" w:lineRule="exact"/>
        <w:rPr>
          <w:rFonts w:ascii="Times New Roman" w:cs="Times New Roman" w:eastAsia="Times New Roman" w:hAnsi="Times New Roman"/>
          <w:sz w:val="17"/>
          <w:szCs w:val="17"/>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grow the potential of our NAV Technology Platform through strategic in-licensing and sublicensing of new programs;</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NAV Technology Platform in the expression of therapeutic proteins, antibodies and gene editing; and</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extensive intellectual property portfolio.</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80" w:right="20" w:firstLine="426"/>
        <w:spacing w:after="0" w:line="258" w:lineRule="auto"/>
        <w:rPr>
          <w:sz w:val="20"/>
          <w:szCs w:val="20"/>
          <w:color w:val="auto"/>
        </w:rPr>
      </w:pPr>
      <w:r>
        <w:rPr>
          <w:rFonts w:ascii="Times New Roman" w:cs="Times New Roman" w:eastAsia="Times New Roman" w:hAnsi="Times New Roman"/>
          <w:sz w:val="18"/>
          <w:szCs w:val="18"/>
          <w:color w:val="auto"/>
        </w:rPr>
        <w:t>We were formed on July 16, 2008 as ReGenX, LLC, a Delaware limited liability company, and we were subsequently renamed ReGenX Biosciences, LLC on December 22, 2009. On September 16, 2014, we underwent a corporate reorganization pursuant to which we were converted into a Delaware corporation under the name REGENXBIO Inc. Our principal offices are located at 9600 Blackwell Road, Suite 210, Rockville, Maryland 20850, and our telephone number is (240) 552-8181. Our website address is www.regenxbio.com. Our website and the information contained on, or that can be accessed through, the website is not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60"/>
          </w:cols>
          <w:pgMar w:left="240" w:top="455" w:right="6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820" w:type="dxa"/>
            <w:vAlign w:val="bottom"/>
            <w:tcBorders>
              <w:top w:val="single" w:sz="8" w:color="auto"/>
              <w:left w:val="single" w:sz="8" w:color="auto"/>
            </w:tcBorders>
          </w:tcPr>
          <w:p>
            <w:pPr>
              <w:spacing w:after="0"/>
              <w:rPr>
                <w:sz w:val="24"/>
                <w:szCs w:val="24"/>
                <w:color w:val="auto"/>
              </w:rPr>
            </w:pPr>
          </w:p>
        </w:tc>
        <w:tc>
          <w:tcPr>
            <w:tcW w:w="62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Issuer</w:t>
            </w: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REGENXBIO Inc.</w:t>
            </w:r>
          </w:p>
        </w:tc>
      </w:tr>
      <w:tr>
        <w:trPr>
          <w:trHeight w:val="324"/>
        </w:trPr>
        <w:tc>
          <w:tcPr>
            <w:tcW w:w="4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2,700,000 shares of our common stock.</w:t>
            </w:r>
          </w:p>
        </w:tc>
      </w:tr>
      <w:tr>
        <w:trPr>
          <w:trHeight w:val="306"/>
        </w:trPr>
        <w:tc>
          <w:tcPr>
            <w:tcW w:w="4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The underwriters have the option to purchase up to an additional</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405,000 shares of our common stock, which they may exercise, in</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whole or in part, for a period of 30 days from the date of this</w:t>
            </w:r>
          </w:p>
        </w:tc>
      </w:tr>
      <w:tr>
        <w:trPr>
          <w:trHeight w:val="234"/>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306"/>
        </w:trPr>
        <w:tc>
          <w:tcPr>
            <w:tcW w:w="4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Common stock to be outstanding immediately after this offering</w:t>
            </w: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34,974,740 shares, or 35,379,740 shares if the underwriters’ option</w:t>
            </w:r>
          </w:p>
        </w:tc>
      </w:tr>
      <w:tr>
        <w:trPr>
          <w:trHeight w:val="234"/>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to purchase additional shares is exercised in full.</w:t>
            </w:r>
          </w:p>
        </w:tc>
      </w:tr>
      <w:tr>
        <w:trPr>
          <w:trHeight w:val="306"/>
        </w:trPr>
        <w:tc>
          <w:tcPr>
            <w:tcW w:w="4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approximately $164.3 million, or approximately $189.0 million if the</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underwriters exercise in full their option to purchase additional</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shares, after deducting underwriting discounts and commissions and</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estimated offering expenses payable by us. We intend to use the net</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proceeds from the offering to: (i) advance our RGX-314 program,</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including expansion of the Phase I clinical trial with an additional</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dose cohort, initiation of a Phase II clinical trial and potential future</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development of expanded indications; (ii) fund development of</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RGX-501, including continued dose-escalation studies in our Phase</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I/II trial; (iii) fund the Phase I and Phase I/II clinical trials for RGX-</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111 and RGX-121, respectively; (iv) fund the conduct of preclinical</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studies to support the filing an IND for an additional internal</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program in 2019; (v) further build our manufacturing processing and</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analytics capabilities to support our ongoing and anticipated product</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development efforts, and in anticipation of potential registration</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studies for our lead product candidates; (vi) continue the</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development of internal early-stage research and development</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infrastructure to support other retinal, metabolic and</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neurodegenerative preclinical programs and to advance additional</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product candidates into clinical development; (vii) opportunistically</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grow the pipeline of new product candidates through in-licenses or</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potential acquisitions; and (viii) establish our initial commercial</w:t>
            </w:r>
          </w:p>
        </w:tc>
      </w:tr>
      <w:tr>
        <w:trPr>
          <w:trHeight w:val="216"/>
        </w:trPr>
        <w:tc>
          <w:tcPr>
            <w:tcW w:w="482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infrastructure in anticipation of future potential commercial</w:t>
            </w:r>
          </w:p>
        </w:tc>
      </w:tr>
      <w:tr>
        <w:trPr>
          <w:trHeight w:val="234"/>
        </w:trPr>
        <w:tc>
          <w:tcPr>
            <w:tcW w:w="482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launches.</w:t>
            </w:r>
          </w:p>
        </w:tc>
      </w:tr>
      <w:tr>
        <w:trPr>
          <w:trHeight w:val="240"/>
        </w:trPr>
        <w:tc>
          <w:tcPr>
            <w:tcW w:w="4820" w:type="dxa"/>
            <w:vAlign w:val="bottom"/>
            <w:tcBorders>
              <w:left w:val="single" w:sz="8" w:color="auto"/>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tcPr>
          <w:p>
            <w:pPr>
              <w:spacing w:after="0"/>
              <w:rPr>
                <w:sz w:val="20"/>
                <w:szCs w:val="20"/>
                <w:color w:val="auto"/>
              </w:rPr>
            </w:pPr>
          </w:p>
        </w:tc>
      </w:tr>
      <w:tr>
        <w:trPr>
          <w:trHeight w:val="604"/>
        </w:trPr>
        <w:tc>
          <w:tcPr>
            <w:tcW w:w="4820" w:type="dxa"/>
            <w:vAlign w:val="bottom"/>
          </w:tcPr>
          <w:p>
            <w:pPr>
              <w:spacing w:after="0"/>
              <w:rPr>
                <w:sz w:val="24"/>
                <w:szCs w:val="24"/>
                <w:color w:val="auto"/>
              </w:rPr>
            </w:pPr>
          </w:p>
        </w:tc>
        <w:tc>
          <w:tcPr>
            <w:tcW w:w="6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240"/>
          </w:cols>
          <w:pgMar w:left="240" w:top="455" w:right="4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3125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31254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See “Use of Proceeds” on page S-10 of this prospectus supplement.</w:t>
      </w:r>
    </w:p>
    <w:p>
      <w:pPr>
        <w:sectPr>
          <w:pgSz w:w="11900" w:h="16838" w:orient="portrait"/>
          <w:cols w:equalWidth="0" w:num="1">
            <w:col w:w="11020"/>
          </w:cols>
          <w:pgMar w:left="240" w:top="455" w:right="639" w:bottom="1440" w:gutter="0" w:footer="0" w:header="0"/>
        </w:sectPr>
      </w:pP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Investing in our common stock involves significant risks. See “Risk Factors” beginning on page S-9 of this prospectus supplement.</w:t>
      </w:r>
    </w:p>
    <w:p>
      <w:pPr>
        <w:spacing w:after="0" w:line="30" w:lineRule="exact"/>
        <w:rPr>
          <w:sz w:val="20"/>
          <w:szCs w:val="20"/>
          <w:color w:val="auto"/>
        </w:rPr>
      </w:pPr>
    </w:p>
    <w:p>
      <w:pPr>
        <w:sectPr>
          <w:pgSz w:w="11900" w:h="16838" w:orient="portrait"/>
          <w:cols w:equalWidth="0" w:num="2">
            <w:col w:w="5320" w:space="720"/>
            <w:col w:w="4980"/>
          </w:cols>
          <w:pgMar w:left="240" w:top="455" w:right="6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color w:val="auto"/>
        </w:rPr>
        <w:t>Nasdaq Global Select Market listing</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“RGNX.”</w:t>
      </w:r>
    </w:p>
    <w:p>
      <w:pPr>
        <w:spacing w:after="0" w:line="200" w:lineRule="exact"/>
        <w:rPr>
          <w:sz w:val="20"/>
          <w:szCs w:val="20"/>
          <w:color w:val="auto"/>
        </w:rPr>
      </w:pPr>
    </w:p>
    <w:p>
      <w:pPr>
        <w:sectPr>
          <w:pgSz w:w="11900" w:h="16838" w:orient="portrait"/>
          <w:cols w:equalWidth="0" w:num="2">
            <w:col w:w="5320" w:space="720"/>
            <w:col w:w="4980"/>
          </w:cols>
          <w:pgMar w:left="240" w:top="455" w:right="639" w:bottom="1440" w:gutter="0" w:footer="0" w:header="0"/>
          <w:type w:val="continuous"/>
        </w:sectPr>
      </w:pP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Outstanding Shares</w:t>
      </w:r>
    </w:p>
    <w:p>
      <w:pPr>
        <w:spacing w:after="0" w:line="121" w:lineRule="exact"/>
        <w:rPr>
          <w:sz w:val="20"/>
          <w:szCs w:val="20"/>
          <w:color w:val="auto"/>
        </w:rPr>
      </w:pPr>
    </w:p>
    <w:p>
      <w:pPr>
        <w:ind w:left="380" w:right="1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as stated above, is based on 32,274,740 shares outstanding as of June 30, 2018, and excludes as of that date:</w:t>
      </w:r>
    </w:p>
    <w:p>
      <w:pPr>
        <w:spacing w:after="0" w:line="67" w:lineRule="exact"/>
        <w:rPr>
          <w:sz w:val="20"/>
          <w:szCs w:val="20"/>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5,445,236 shares of common stock issuable upon the exercise of options with a weighted average exercise price of $15.61;</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39,500 shares issuable upon vesting of restricted stock units; and</w:t>
      </w:r>
    </w:p>
    <w:p>
      <w:pPr>
        <w:spacing w:after="0" w:line="130" w:lineRule="exact"/>
        <w:rPr>
          <w:rFonts w:ascii="Times New Roman" w:cs="Times New Roman" w:eastAsia="Times New Roman" w:hAnsi="Times New Roman"/>
          <w:sz w:val="18"/>
          <w:szCs w:val="18"/>
          <w:color w:val="auto"/>
        </w:rPr>
      </w:pPr>
    </w:p>
    <w:p>
      <w:pPr>
        <w:ind w:left="1220" w:hanging="307"/>
        <w:spacing w:after="0" w:line="282"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2,236,302 shares of common stock reserved for issuance under our 2015 Equity Incentive Plan and 186,752 shares reserved for issuance under our 2015 Employee Stock Purchase Plan.</w:t>
      </w:r>
    </w:p>
    <w:p>
      <w:pPr>
        <w:spacing w:after="0" w:line="162" w:lineRule="exact"/>
        <w:rPr>
          <w:sz w:val="20"/>
          <w:szCs w:val="20"/>
          <w:color w:val="auto"/>
        </w:rPr>
      </w:pPr>
    </w:p>
    <w:p>
      <w:pPr>
        <w:jc w:val="both"/>
        <w:ind w:left="380" w:right="180" w:firstLine="426"/>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information in the prospectus supplement, including the number of shares of common stock outstanding immediately after this offering, excludes the shares referenced in the bullets above and assumes no exercise by the underwriters of their option to purchase 405,000 additional shares of common stock from us within 30 days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20"/>
          </w:cols>
          <w:pgMar w:left="240" w:top="455" w:right="6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Before deciding whether to invest in our common stock, you should consider carefully the risks described below and discussed under the section captioned “Risk Factors” in Part II, Item 1A of our Quarterly Report on Form 10-Q for the quarter ended June 30, 2018, which is incorporated by reference in this prospectus supplement and the accompanying prospectus in its entirety, together with other information in this prospectus supplement, the accompanying prospectus, and the information and documents incorporated by reference that we have authorized for use in connection with this offering. If any of these risks actually occur, our business, financial condition, results of operations or cash flows could be seriously harmed. This could cause the trading price of our common stock to decline, resulting in a loss of all or part of your investment.</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As an investor participating in this offering, you will experience immediate substantial dilution.</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The price per share of our common stock being offered is substantially higher than the net tangible book value per share of our common stock outstanding prior to this offering. As a result, investors purchasing common stock in this offering will experience dilution to the extent of the difference between the public offering price per share and the net tangible book value per share of our common stock. After giving effect to the sale of 2,700,000 shares of our common stock in this offering at the public offering price of $65.00 per share and based on our net tangible book value as of June 30, 2018 of $9.83 per share, if you purchase shares of common stock in this offering you will suffer substantial and immediate dilution of $51.23 per share in the net tangible book value of the common stock. The future exercise of outstanding options and vesting of restricted stock units will result in further dilution of your investment. See the section entitled “Dilution” below for a more detailed discussion of the dilution you will incur if you purchase common stock in this offering.</w:t>
      </w:r>
    </w:p>
    <w:p>
      <w:pPr>
        <w:spacing w:after="0" w:line="289" w:lineRule="exact"/>
        <w:rPr>
          <w:sz w:val="20"/>
          <w:szCs w:val="20"/>
          <w:color w:val="auto"/>
        </w:rPr>
      </w:pPr>
    </w:p>
    <w:p>
      <w:pPr>
        <w:ind w:left="20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actual amounts and timing of the expenditures of the proceeds we receive in this offering and might not apply the proceeds in ways that enhance our operating results or increase the value of your investment.</w:t>
      </w:r>
    </w:p>
    <w:p>
      <w:pPr>
        <w:spacing w:after="0" w:line="51"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the offering to: (i) advance our RGX-314 program, including expansion of the Phase I clinical trial with an additional dose cohort, initiation of a Phase II clinical trial and potential future development of expanded indications; (ii) fund development of RGX-501, including continued dose-escalation studies in our Phase I/II trial; (iii) fund the Phase I and Phase I/II clinical trials for RGX-111 and RGX-121, respectively; (iv) fund the conduct of preclinical studies to support the filing an IND for an additional internal program in 2019; (v) further build our manufacturing processing and analytics capabilities to support our ongoing and anticipated product development efforts, and in anticipation of potential registration studies for our lead product candidates; (vi) continue the development of internal early-stage research and development infrastructure to support other retinal, metabolic and neurodegenerative preclinical programs and to advance additional product candidates into clinical development;</w:t>
      </w:r>
    </w:p>
    <w:p>
      <w:pPr>
        <w:spacing w:after="0" w:line="4" w:lineRule="exact"/>
        <w:rPr>
          <w:sz w:val="20"/>
          <w:szCs w:val="20"/>
          <w:color w:val="auto"/>
        </w:rPr>
      </w:pPr>
    </w:p>
    <w:p>
      <w:pPr>
        <w:ind w:left="200" w:right="100" w:firstLine="4"/>
        <w:spacing w:after="0" w:line="252" w:lineRule="auto"/>
        <w:tabs>
          <w:tab w:leader="none" w:pos="5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grow the pipeline of new product candidates through in-licenses or potential acquisitions; and (viii) establish our initial commercial infrastructure in anticipation of future potential commercial launches. Our management will have broad discretion as to the actual amounts and timing of the expenditures of the net proceeds from this offering, and you will be relying on the judgment of our management regarding the application of these proceeds. Our management might not apply the net proceeds of this offering in ways that enhance our operating results or increase the value of your investment. Additionally, until the net proceeds we receive are used, they may be placed in investments that do not produce income or that lose value. See “Use of Proceeds” located elsewhere in this prospectus supplement.</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20"/>
          </w:cols>
          <w:pgMar w:left="24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200" w:right="300" w:firstLine="441"/>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$164.3 million, or approximately $189.0 million if the underwriters exercise in full their option to purchase additional shares, after deducting underwriting discounts and commissions and estimated offering expenses payable by us.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intend to use the net proceeds from the offering to:</w:t>
      </w:r>
    </w:p>
    <w:p>
      <w:pPr>
        <w:spacing w:after="0" w:line="131" w:lineRule="exact"/>
        <w:rPr>
          <w:sz w:val="20"/>
          <w:szCs w:val="20"/>
          <w:color w:val="auto"/>
        </w:rPr>
      </w:pPr>
    </w:p>
    <w:p>
      <w:pPr>
        <w:ind w:left="1060" w:right="440" w:hanging="424"/>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RGX-314 program, including expansion of the Phase I clinical trial with an additional dose cohort, initiation of a Phase II clinical trial and potential future development of expanded indications;</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of RGX-501, including continued dose-escalation studies in our Phase I/II trial;</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Phase I and Phase I/II clinical trials for RGX-111 and RGX-121, respectively;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conduct of preclinical studies to support the filing an IND for an additional internal program in 2019;</w:t>
      </w:r>
    </w:p>
    <w:p>
      <w:pPr>
        <w:spacing w:after="0" w:line="130" w:lineRule="exact"/>
        <w:rPr>
          <w:rFonts w:ascii="Times New Roman" w:cs="Times New Roman" w:eastAsia="Times New Roman" w:hAnsi="Times New Roman"/>
          <w:sz w:val="18"/>
          <w:szCs w:val="18"/>
          <w:color w:val="auto"/>
        </w:rPr>
      </w:pPr>
    </w:p>
    <w:p>
      <w:pPr>
        <w:ind w:left="1060" w:right="220" w:hanging="424"/>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build our manufacturing processing and analytics capabilities to support our ongoing and anticipated product development efforts, and in anticipation of potential registration studies for our lead product candidates;</w:t>
      </w:r>
    </w:p>
    <w:p>
      <w:pPr>
        <w:spacing w:after="0" w:line="67" w:lineRule="exact"/>
        <w:rPr>
          <w:rFonts w:ascii="Times New Roman" w:cs="Times New Roman" w:eastAsia="Times New Roman" w:hAnsi="Times New Roman"/>
          <w:sz w:val="18"/>
          <w:szCs w:val="18"/>
          <w:color w:val="auto"/>
        </w:rPr>
      </w:pPr>
    </w:p>
    <w:p>
      <w:pPr>
        <w:ind w:left="1060" w:right="920" w:hanging="424"/>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internal early-stage research and development infrastructure to support other retinal, metabolic and neurodegenerative preclinical programs and to advance additional product candidates into clinical development;</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grow the pipeline of new product candidates through in-licenses or potential acquisitions;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initial commercial infrastructure in anticipation of future potential commercial launches.</w:t>
      </w:r>
    </w:p>
    <w:p>
      <w:pPr>
        <w:spacing w:after="0" w:line="225"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expected use of net proceeds of this offering represents our current intentions based upon our present plans and business conditions. The amounts we actually expend in these areas may vary significantly from our current intentions and will depend upon a number of factors, including success of our product candidate development and any potential commercialization efforts, cash generated from future operations, if any, and actual expenses to operate our business. As of the date of this prospectus supplement, we cannot specify with certainty all of the particular uses for the net proceeds to be received upon the closing of this offering. Accordingly, our management will have broad discretion in the application of the net proceeds, and investors will be relying on the judgment of our management regarding the application of the net proceeds of this offering.</w:t>
      </w:r>
    </w:p>
    <w:p>
      <w:pPr>
        <w:spacing w:after="0" w:line="188"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Pending use of proceeds from this offering, we intend to invest the proceeds in a variety of capital preservation investments, including long-term and short-term, investment-grade, interest-bearing instruments.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00"/>
          </w:cols>
          <w:pgMar w:left="24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and our capitalization as of June 30, 2018 on:</w:t>
      </w:r>
    </w:p>
    <w:p>
      <w:pPr>
        <w:spacing w:after="0" w:line="131" w:lineRule="exact"/>
        <w:rPr>
          <w:sz w:val="20"/>
          <w:szCs w:val="20"/>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 and</w:t>
      </w:r>
    </w:p>
    <w:p>
      <w:pPr>
        <w:spacing w:after="0" w:line="130" w:lineRule="exact"/>
        <w:rPr>
          <w:rFonts w:ascii="Times New Roman" w:cs="Times New Roman" w:eastAsia="Times New Roman" w:hAnsi="Times New Roman"/>
          <w:sz w:val="18"/>
          <w:szCs w:val="18"/>
          <w:color w:val="auto"/>
        </w:rPr>
      </w:pPr>
    </w:p>
    <w:p>
      <w:pPr>
        <w:ind w:left="1060" w:right="340" w:hanging="316"/>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 adjusted basis giving effect to the sale of 2,700,000 shares of our common stock offered in this offering, after deducting estimated underwriting discounts and commissions and estimated offering expenses payable by us.</w:t>
      </w:r>
    </w:p>
    <w:p>
      <w:pPr>
        <w:spacing w:after="0" w:line="162"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information in this table is illustrative only and our capitalization following the completion of this offering will be adjusted based on the actual public offering price and other terms of this offering determined at pricing. You should read this table in conjunction consolidated financial statements and the notes thereto included in the documents incorporated by reference into this prospectus supplement and the accompanying prospectus.</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r>
              <w:rPr>
                <w:rFonts w:ascii="Times New Roman" w:cs="Times New Roman" w:eastAsia="Times New Roman" w:hAnsi="Times New Roman"/>
                <w:sz w:val="15"/>
                <w:szCs w:val="15"/>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306,289</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$ 470,559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10,000,000 shares authorized and no</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 actual and as adjusted</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 and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32,274,740 shares issued and outstanding, actual; 34,974,740 shares issued and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adjusted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386,110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(68,120)</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(68,120)</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317,222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$ 481,492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640" w:right="520" w:hanging="436"/>
        <w:spacing w:after="0" w:line="266"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2018, we had $179.6 million of marketable securities that were classified as current assets and $19.8 million of marketable securities that were classified as non-current assets. Marketable securities classified as non-current assets have maturity dates exceeding 12 months and are not expected to be sold prior to maturity for use in current operations.</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80"/>
          </w:cols>
          <w:pgMar w:left="24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in this offering, your interest will be diluted to the extent of the difference between the price per share that you pay and the net tangible book value per share of our common stock immediately after this offering.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June 30, 2018, our net tangible book value was $317.2 million, or $9.83 per share of common stock. Net tangible book value per share is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equal to our total tangible assets, less total liabilities, divided by the number of outstanding shares of our common stock. Dilution with respect to net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tangible book value per share represents the difference between the amount per share paid by purchasers of shares of common stock in this offering and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net tangible book value per share of our common stock immediately after this offering. After giving effect to the sale of shares of common stock in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this offering, after deducting underwriting discounts and commissions and estimated offering expenses payable by us, at the public offering price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$65.00 per share, our as adjusted net tangible book value as of June 30, 2018 would have been approximately $481.5 million, or approximately $13.77</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per share of common stock. This represents an immediate increase in net tangible book value of $3.94 per share to our existing stockholders and an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immediate dilution of $51.23 per share to investors participating in this offering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amounts in the table below assume no exercise by the underwriters of their option to purchase additional shares of common stock.</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June 30, 2018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3.94</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As adjusted net tangible book value per share on June 30, 2018 after this offering</w:t>
            </w:r>
          </w:p>
        </w:tc>
        <w:tc>
          <w:tcPr>
            <w:tcW w:w="5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common stock in this offering</w:t>
            </w:r>
          </w:p>
        </w:tc>
        <w:tc>
          <w:tcPr>
            <w:tcW w:w="1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common stock in full in this offering, the increase in net tangible book value per share to existing stockholders would be $4.48 per share and the dilution to purchasers of common stock in this offering would be $50.69 per share.</w:t>
      </w:r>
    </w:p>
    <w:p>
      <w:pPr>
        <w:spacing w:after="0" w:line="176"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The foregoing tables are calculated based on 32,274,740 shares of our common stock that were outstanding on June 30, 2018, and exclude as of that date:</w:t>
      </w:r>
    </w:p>
    <w:p>
      <w:pPr>
        <w:spacing w:after="0" w:line="67" w:lineRule="exact"/>
        <w:rPr>
          <w:sz w:val="20"/>
          <w:szCs w:val="20"/>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5,445,236 shares of common stock issuable upon the exercise of options with a weighted average exercise price of $15.61;</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39,500 shares issuable upon vesting of restricted stock units; and</w:t>
      </w:r>
    </w:p>
    <w:p>
      <w:pPr>
        <w:spacing w:after="0" w:line="130" w:lineRule="exact"/>
        <w:rPr>
          <w:rFonts w:ascii="Times New Roman" w:cs="Times New Roman" w:eastAsia="Times New Roman" w:hAnsi="Times New Roman"/>
          <w:sz w:val="18"/>
          <w:szCs w:val="18"/>
          <w:color w:val="auto"/>
        </w:rPr>
      </w:pPr>
    </w:p>
    <w:p>
      <w:pPr>
        <w:ind w:left="1060" w:right="340" w:hanging="316"/>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2,236,302 shares of common stock reserved for issuance under our 2015 Equity Incentive Plan and 186,752 shares reserved for issuance under our 2015 Employee Stock Purchase Plan.</w:t>
      </w:r>
    </w:p>
    <w:p>
      <w:pPr>
        <w:spacing w:after="0" w:line="162" w:lineRule="exact"/>
        <w:rPr>
          <w:sz w:val="20"/>
          <w:szCs w:val="20"/>
          <w:color w:val="auto"/>
        </w:rPr>
      </w:pPr>
    </w:p>
    <w:p>
      <w:pPr>
        <w:ind w:left="200" w:right="220" w:firstLine="441"/>
        <w:spacing w:after="0" w:line="261" w:lineRule="auto"/>
        <w:rPr>
          <w:sz w:val="20"/>
          <w:szCs w:val="20"/>
          <w:color w:val="auto"/>
        </w:rPr>
      </w:pPr>
      <w:r>
        <w:rPr>
          <w:rFonts w:ascii="Times New Roman" w:cs="Times New Roman" w:eastAsia="Times New Roman" w:hAnsi="Times New Roman"/>
          <w:sz w:val="18"/>
          <w:szCs w:val="18"/>
          <w:color w:val="auto"/>
        </w:rPr>
        <w:t>New investors will experience further dilution if any of our outstanding options are exercised or new options are issued and exercised under our equity incentive plans. Furthermore, we may choose to raise additional capital through the sale of equity or convertible debt securities due to market conditions or strategic considerations, even if we believe we have sufficient funds for our current or future operating plans. To the extent that we raise additional capital in this manner, the issuance of such securities could result in further dilution of stockholders.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20"/>
          </w:cols>
          <w:pgMar w:left="24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22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“RGNX.” The following table sets forth the range of high and low sales prices of our common stock as quoted on The Nasdaq Global Select Market for the periods indicated.</w:t>
      </w:r>
    </w:p>
    <w:p>
      <w:pPr>
        <w:spacing w:after="0" w:line="182"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 2018</w:t>
            </w:r>
          </w:p>
        </w:tc>
        <w:tc>
          <w:tcPr>
            <w:tcW w:w="2120" w:type="dxa"/>
            <w:vAlign w:val="bottom"/>
          </w:tcPr>
          <w:p>
            <w:pPr>
              <w:spacing w:after="0"/>
              <w:rPr>
                <w:sz w:val="15"/>
                <w:szCs w:val="15"/>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3rd Quarter (through August 9, 2018)</w:t>
            </w:r>
          </w:p>
        </w:tc>
        <w:tc>
          <w:tcPr>
            <w:tcW w:w="2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$85.10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61.00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2nd Quarter</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26.80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23.25</w:t>
            </w:r>
          </w:p>
        </w:tc>
        <w:tc>
          <w:tcPr>
            <w:tcW w:w="40" w:type="dxa"/>
            <w:vAlign w:val="bottom"/>
            <w:shd w:val="clear" w:color="auto" w:fill="CCEEFF"/>
          </w:tcPr>
          <w:p>
            <w:pPr>
              <w:spacing w:after="0"/>
              <w:rPr>
                <w:sz w:val="18"/>
                <w:szCs w:val="18"/>
                <w:color w:val="auto"/>
              </w:rPr>
            </w:pPr>
          </w:p>
        </w:tc>
      </w:tr>
      <w:tr>
        <w:trPr>
          <w:trHeight w:val="365"/>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212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Quarter</w:t>
            </w:r>
          </w:p>
        </w:tc>
        <w:tc>
          <w:tcPr>
            <w:tcW w:w="2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$36.10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24.35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3rd Quarter</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Quarter</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16.30</w:t>
            </w:r>
          </w:p>
        </w:tc>
        <w:tc>
          <w:tcPr>
            <w:tcW w:w="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1st Quarter</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16.30</w:t>
            </w:r>
          </w:p>
        </w:tc>
        <w:tc>
          <w:tcPr>
            <w:tcW w:w="40" w:type="dxa"/>
            <w:vAlign w:val="bottom"/>
          </w:tcPr>
          <w:p>
            <w:pPr>
              <w:spacing w:after="0"/>
              <w:rPr>
                <w:sz w:val="20"/>
                <w:szCs w:val="20"/>
                <w:color w:val="auto"/>
              </w:rPr>
            </w:pPr>
          </w:p>
        </w:tc>
      </w:tr>
      <w:tr>
        <w:trPr>
          <w:trHeight w:val="346"/>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tc>
        <w:tc>
          <w:tcPr>
            <w:tcW w:w="212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Quarter</w:t>
            </w:r>
          </w:p>
        </w:tc>
        <w:tc>
          <w:tcPr>
            <w:tcW w:w="2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$24.55</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3rd Quarter</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Quarter</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1st Quarter</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40" w:type="dxa"/>
            <w:vAlign w:val="bottom"/>
          </w:tcPr>
          <w:p>
            <w:pPr>
              <w:spacing w:after="0"/>
              <w:rPr>
                <w:sz w:val="20"/>
                <w:szCs w:val="20"/>
                <w:color w:val="auto"/>
              </w:rPr>
            </w:pPr>
          </w:p>
        </w:tc>
      </w:tr>
    </w:tbl>
    <w:p>
      <w:pPr>
        <w:spacing w:after="0" w:line="179"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On August 9, 2018, the closing sale price of our common stock, as reported by Nasdaq was $66.70 per share. As of August 3, 2018, there were approximately five holders of record of our common stock. The number of holders of record of our common stock does not reflect the number of beneficial holders whose shares are held by depositors, brokers or other nominees.</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since our inception. We do not plan to pay dividends in the foreseeable future.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00"/>
          </w:cols>
          <w:pgMar w:left="24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NON-U.S. HOLDERS OF COMMON STOCK</w:t>
      </w:r>
    </w:p>
    <w:p>
      <w:pPr>
        <w:spacing w:after="0" w:line="207" w:lineRule="exact"/>
        <w:rPr>
          <w:sz w:val="20"/>
          <w:szCs w:val="20"/>
          <w:color w:val="auto"/>
        </w:rPr>
      </w:pPr>
    </w:p>
    <w:p>
      <w:pPr>
        <w:ind w:left="200" w:right="100" w:firstLine="441"/>
        <w:spacing w:after="0" w:line="254" w:lineRule="auto"/>
        <w:rPr>
          <w:sz w:val="20"/>
          <w:szCs w:val="20"/>
          <w:color w:val="auto"/>
        </w:rPr>
      </w:pPr>
      <w:r>
        <w:rPr>
          <w:rFonts w:ascii="Times New Roman" w:cs="Times New Roman" w:eastAsia="Times New Roman" w:hAnsi="Times New Roman"/>
          <w:sz w:val="18"/>
          <w:szCs w:val="18"/>
          <w:color w:val="auto"/>
        </w:rPr>
        <w:t>The following describes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and does not address any estate or gift tax consequences or any tax consequences arising under any state, local or foreign tax laws, or any other U.S. federal tax laws. This discussion is based on the Internal Revenue Code of 1986, as amended, or the Code, Treasury Regulations promulgated thereunder, judicial decisions and published rulings and administrative pronouncements of the Internal Revenue Service, or IRS, all as in effect as of the date of this prospectus supplement. These authorities may change, possibly retroactively, resulting in U.S. federal income tax consequences different from those discussed below. We have not requested a ruling from the U.S. Internal Revenue Service, or IRS, with respect to the statements made and the conclusions reached in the following summary, and there can be no assurance that the IRS will agree with such statements and conclusions.</w:t>
      </w:r>
    </w:p>
    <w:p>
      <w:pPr>
        <w:spacing w:after="0" w:line="189"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issued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 without limitation, certain former citizens or long-term residents of the United States, partnerships or other pass-through entities, a non-U.S. governmental or sovereign entity or any entity qualifying under Section 892 of the Code, corporations that accumulate earnings to avoid U.S. federal income tax, banks, financial institutions, investment funds, insurance companies, brokers, dealers or traders in securities, tax-exempt organizations, tax-qualified retirement plans, persons subject to the alternative minimum tax, persons that own, or have owned, actually or constructively, more than 5% of our common stock, persons holding our common stock as part of a hedging or conversion transaction or straddle, or a constructive sale, or other risk reduction strategy and persons required to accelerate the recognition of any item of gross income for U.S. federal income tax purposes with respect to our common stock as a result of such item being taken into account in an applicable financial statement.</w:t>
      </w:r>
    </w:p>
    <w:p>
      <w:pPr>
        <w:spacing w:after="0" w:line="193"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our common stock, the U.S. federal income tax treatment of a partner will generally depend on the status of the partner and the activities of the partnership. Partnerships holding our common stock and the partners in such partnerships are urged to consult their tax advisors as to particular U.S. federal income tax consequences to them of holding and disposing of our common stock.</w:t>
      </w:r>
    </w:p>
    <w:p>
      <w:pPr>
        <w:spacing w:after="0" w:line="180"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U.S. FEDERAL INCOME TAX CONSEQUENCES TO THEM OF ACQUIRING, OWNING AND DISPOSING OF OUR COMMON STOCK IN THEIR PARTICULAR CIRCUMSTANCES, AS WELL AS ANY TAX CONSEQUENCES ARISING UNDER ANY STATE, LOCAL OR FOREIGN TAX LAWS AND ANY OTHER U.S. FEDERAL TAX LAWS.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21" w:lineRule="exact"/>
        <w:rPr>
          <w:sz w:val="20"/>
          <w:szCs w:val="20"/>
          <w:color w:val="auto"/>
        </w:rPr>
      </w:pPr>
    </w:p>
    <w:p>
      <w:pPr>
        <w:ind w:left="200" w:right="560" w:firstLine="441"/>
        <w:spacing w:after="0" w:line="313" w:lineRule="auto"/>
        <w:rPr>
          <w:sz w:val="20"/>
          <w:szCs w:val="20"/>
          <w:color w:val="auto"/>
        </w:rPr>
      </w:pPr>
      <w:r>
        <w:rPr>
          <w:rFonts w:ascii="Times New Roman" w:cs="Times New Roman" w:eastAsia="Times New Roman" w:hAnsi="Times New Roman"/>
          <w:sz w:val="17"/>
          <w:szCs w:val="17"/>
          <w:color w:val="auto"/>
        </w:rPr>
        <w:t>For purposes of this discussion, a non-U.S. holder is any beneficial owner of our common stock that is not a “U.S. person” or a partnership (including any entity or arrangement treated as a partnership) for U.S. federal income tax purposes. A “U.S. person” is any of the following:</w:t>
      </w:r>
    </w:p>
    <w:p>
      <w:pPr>
        <w:spacing w:after="0" w:line="44" w:lineRule="exact"/>
        <w:rPr>
          <w:sz w:val="20"/>
          <w:szCs w:val="20"/>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00"/>
          </w:cols>
          <w:pgMar w:left="24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500" w:hanging="316"/>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60" w:right="60" w:hanging="316"/>
        <w:spacing w:after="0" w:line="266"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to the extent of the holder’s tax basis in our common stock, and, thereafter, as gain realized on the sale or other disposition of our common stock, which is taxed as described in the section of this prospectus supplement titled “—Gain on disposition of our common stock” below.</w:t>
      </w:r>
    </w:p>
    <w:p>
      <w:pPr>
        <w:spacing w:after="0" w:line="184" w:lineRule="exact"/>
        <w:rPr>
          <w:sz w:val="20"/>
          <w:szCs w:val="20"/>
          <w:color w:val="auto"/>
        </w:rPr>
      </w:pPr>
    </w:p>
    <w:p>
      <w:pPr>
        <w:ind w:left="200" w:right="180" w:firstLine="441"/>
        <w:spacing w:after="0" w:line="269" w:lineRule="auto"/>
        <w:rPr>
          <w:sz w:val="20"/>
          <w:szCs w:val="20"/>
          <w:color w:val="auto"/>
        </w:rPr>
      </w:pPr>
      <w:r>
        <w:rPr>
          <w:rFonts w:ascii="Times New Roman" w:cs="Times New Roman" w:eastAsia="Times New Roman" w:hAnsi="Times New Roman"/>
          <w:sz w:val="17"/>
          <w:szCs w:val="17"/>
          <w:color w:val="auto"/>
        </w:rPr>
        <w:t>Subject to the discussion below regarding backup withholding and FATCA, dividends (out of earnings and profits)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paying agent a valid IRS Form W-8BEN or IRS Form W-8BEN-E (or applicable successor form) including a U.S. taxpayer identification number and certifying such holder’s qualification for the reduced rate. This certification must be provided to us or our paying agent prior to the payment of dividends and must be updated periodically. If the non-U.S. holder holds the stock through a financial institution or other agent acting on the non-U.S. holder’s behalf,</w:t>
      </w:r>
    </w:p>
    <w:p>
      <w:pPr>
        <w:jc w:val="both"/>
        <w:ind w:left="200" w:right="20"/>
        <w:spacing w:after="0" w:line="255" w:lineRule="auto"/>
        <w:rPr>
          <w:sz w:val="20"/>
          <w:szCs w:val="20"/>
          <w:color w:val="auto"/>
        </w:rPr>
      </w:pPr>
      <w:r>
        <w:rPr>
          <w:rFonts w:ascii="Times New Roman" w:cs="Times New Roman" w:eastAsia="Times New Roman" w:hAnsi="Times New Roman"/>
          <w:sz w:val="18"/>
          <w:szCs w:val="18"/>
          <w:color w:val="auto"/>
        </w:rPr>
        <w:t>the non-U.S. holder will be required to provide appropriate documentation to the agent, which then will be required to provide certification to us or our paying agent, either directly or through other intermediaries. Non-U.S. holders that do not timely provide the required certification, but that qualify for a reduced treaty rate, may obtain a refund of any excess amounts withheld by timely filing an appropriate claim for refund with the IRS.</w:t>
      </w:r>
    </w:p>
    <w:p>
      <w:pPr>
        <w:spacing w:after="0" w:line="186"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properly executed IRS Form W-8ECI (or applicable successor form).</w:t>
      </w:r>
    </w:p>
    <w:p>
      <w:pPr>
        <w:spacing w:after="0" w:line="18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Any dividends paid on our common stock that are effectively connected with a non-U.S. holder’s U.S. trade or business (and if required by an applicable income tax treaty, are attributable to a permanent establishment maintained by the non-U.S. holder in the United States)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reduced rates of withholding on dividends, or branch profits tax.</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Gain on taxable disposition of our common stock</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tax on any gain realized upon the sale, exchange or other taxable disposition of our common stock, unless: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00"/>
          </w:cols>
          <w:pgMar w:left="24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20" w:right="60" w:hanging="43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67" w:lineRule="exact"/>
        <w:rPr>
          <w:rFonts w:ascii="Times New Roman" w:cs="Times New Roman" w:eastAsia="Times New Roman" w:hAnsi="Times New Roman"/>
          <w:sz w:val="18"/>
          <w:szCs w:val="18"/>
          <w:color w:val="auto"/>
        </w:rPr>
      </w:pPr>
    </w:p>
    <w:p>
      <w:pPr>
        <w:ind w:left="1620" w:right="340" w:hanging="43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620" w:right="100" w:hanging="430"/>
        <w:spacing w:after="0" w:line="26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stock in a United States real property holding corporation, or USRPHC, for U.S. federal income tax purposes at any time within the shorter of the five-year period preceding the disposition or the non-U.S. holder’s holding period for our common stock and our common stock ceases to be regularly traded on an established securities market prior to the beginning of the calendar year in which the sale or disposition occurs.</w:t>
      </w:r>
    </w:p>
    <w:p>
      <w:pPr>
        <w:spacing w:after="0" w:line="180"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The determination of whether we are a USRPHC depends on the fair market value of our U.S. real property interests relative to the fair market value of our other trade or business assets and our foreign real property interests. We believe we are not currently, and we do not anticipate becoming, a USRPHC for U.S. federal income tax purposes.</w:t>
      </w:r>
    </w:p>
    <w:p>
      <w:pPr>
        <w:spacing w:after="0" w:line="176"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Gain described in the first and third bullet points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any gain described in the first bullet point above that constitutes effectively connected earnings and profits for the taxable year, as adjusted for certain items. Non-U.S. holders should consult their tax advisors regarding any applicable income tax treaties that may provide for different rules.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an income tax treaty or other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as to its non-U.S. status, such as by providing a valid IRS Form W-8BEN, IRS Form W-8BEN-E, IRS Form W-8EXP or IRS Form W-8ECI, or certain other requirements are met. Notwithstanding the foregoing, backup withholding may apply if the payor has actual knowledge, or reason to know, that the holder is a U.S. person who is not an exempt recipient.</w:t>
      </w:r>
    </w:p>
    <w:p>
      <w:pPr>
        <w:spacing w:after="0" w:line="189"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00"/>
          </w:cols>
          <w:pgMar w:left="24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Certain “foreign financial institutions” as defined under the Foreign Account Tax Compliance Act, or FATCA, must comply with information reporting rules with respect to their U.S. account holders and investors. A non-U.S. holder that fails to certify that it is not a foreign financial institution or fails to comply with due diligence or information reporting obligations under FATCA is subject to FATCA withholding at a rate of 30% on payments of dividends by us and the entire gross proceeds from the sale or other taxable disposition of our common stock on or after January 1, 2019. This FATCA withholding tax will apply regardless of whether the non-U.S. holder holds our common stock as beneficial owner or intermediary and regardless of whether the payment is otherwise subject to U.S. nonresident withholding tax. FATCA withholding does not apply to withholdable payments made directly to foreign governments, international organizations, foreign central banks of issue and individuals that provide appropriate certification on IRS Form W-8BEN, W-8BEN-E or IRS Form W-8EXP.</w:t>
      </w:r>
    </w:p>
    <w:p>
      <w:pPr>
        <w:spacing w:after="0" w:line="185"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An intergovernmental agreement between the United States and an applicable non-U.S. country may modify the due diligence and information reporting requirements described above.</w:t>
      </w:r>
    </w:p>
    <w:p>
      <w:pPr>
        <w:spacing w:after="0" w:line="162"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with their own tax advisors regarding the consequences, including the certification requirements, of the FATCA provisions and any applicable intergovernmental agreement based on their particular circumstances.</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240" w:top="455" w:right="5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the underwriters named below, for whom Morgan Stanley &amp; Co. LLC, Merrill Lynch, Pierce, Fenner &amp; Smith Incorporated and Barclays Capital Inc. are acting as representatives, have severally agreed to purchase, and we have agreed to sell to them, severally, the number of shares indicated below:</w:t>
      </w:r>
    </w:p>
    <w:p>
      <w:pPr>
        <w:spacing w:after="0" w:line="197" w:lineRule="exact"/>
        <w:rPr>
          <w:sz w:val="20"/>
          <w:szCs w:val="20"/>
          <w:color w:val="auto"/>
        </w:rPr>
      </w:pPr>
    </w:p>
    <w:tbl>
      <w:tblPr>
        <w:tblLayout w:type="fixed"/>
        <w:tblInd w:w="198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tcPr>
          <w:p>
            <w:pPr>
              <w:spacing w:after="0"/>
              <w:rPr>
                <w:sz w:val="16"/>
                <w:szCs w:val="16"/>
                <w:color w:val="auto"/>
              </w:rPr>
            </w:pPr>
          </w:p>
        </w:tc>
        <w:tc>
          <w:tcPr>
            <w:tcW w:w="294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3"/>
        </w:trPr>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17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972,000</w:t>
            </w:r>
          </w:p>
        </w:tc>
        <w:tc>
          <w:tcPr>
            <w:tcW w:w="60" w:type="dxa"/>
            <w:vAlign w:val="bottom"/>
            <w:tcBorders>
              <w:top w:val="single" w:sz="8" w:color="CCEEFF"/>
            </w:tcBorders>
            <w:shd w:val="clear" w:color="auto" w:fill="CCEEFF"/>
          </w:tcPr>
          <w:p>
            <w:pPr>
              <w:spacing w:after="0"/>
              <w:rPr>
                <w:sz w:val="17"/>
                <w:szCs w:val="17"/>
                <w:color w:val="auto"/>
              </w:rPr>
            </w:pPr>
          </w:p>
        </w:tc>
      </w:tr>
      <w:tr>
        <w:trPr>
          <w:trHeight w:val="198"/>
        </w:trPr>
        <w:tc>
          <w:tcPr>
            <w:tcW w:w="4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60" w:type="dxa"/>
            <w:vAlign w:val="bottom"/>
          </w:tcPr>
          <w:p>
            <w:pPr>
              <w:spacing w:after="0"/>
              <w:rPr>
                <w:sz w:val="20"/>
                <w:szCs w:val="20"/>
                <w:color w:val="auto"/>
              </w:rPr>
            </w:pPr>
          </w:p>
        </w:tc>
        <w:tc>
          <w:tcPr>
            <w:tcW w:w="4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Incorporated</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972,000</w:t>
            </w:r>
          </w:p>
        </w:tc>
        <w:tc>
          <w:tcPr>
            <w:tcW w:w="60" w:type="dxa"/>
            <w:vAlign w:val="bottom"/>
          </w:tcPr>
          <w:p>
            <w:pPr>
              <w:spacing w:after="0"/>
              <w:rPr>
                <w:sz w:val="20"/>
                <w:szCs w:val="20"/>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60" w:type="dxa"/>
            <w:vAlign w:val="bottom"/>
            <w:shd w:val="clear" w:color="auto" w:fill="CCEEFF"/>
          </w:tcPr>
          <w:p>
            <w:pPr>
              <w:spacing w:after="0"/>
              <w:rPr>
                <w:sz w:val="18"/>
                <w:szCs w:val="18"/>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7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60" w:type="dxa"/>
            <w:vAlign w:val="bottom"/>
          </w:tcPr>
          <w:p>
            <w:pPr>
              <w:spacing w:after="0"/>
              <w:rPr>
                <w:sz w:val="19"/>
                <w:szCs w:val="19"/>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60" w:type="dxa"/>
            <w:vAlign w:val="bottom"/>
            <w:shd w:val="clear" w:color="auto" w:fill="CCEEFF"/>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88"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supplement and part to certain dealers at a price that represents a concession not in excess of $2.34 per share under the public offering price. After the initial offering of the shares of common stock, the offering price and other selling terms may from time to time be varied by the representatives.</w:t>
      </w:r>
    </w:p>
    <w:p>
      <w:pPr>
        <w:spacing w:after="0" w:line="180"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up to 405,000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4"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405,000 shares of common stock.</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2"/>
                <w:szCs w:val="12"/>
                <w:color w:val="auto"/>
              </w:rPr>
            </w:pPr>
          </w:p>
        </w:tc>
        <w:tc>
          <w:tcPr>
            <w:tcW w:w="138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100" w:type="dxa"/>
            <w:vAlign w:val="bottom"/>
          </w:tcPr>
          <w:p>
            <w:pPr>
              <w:spacing w:after="0"/>
              <w:rPr>
                <w:sz w:val="12"/>
                <w:szCs w:val="12"/>
                <w:color w:val="auto"/>
              </w:rPr>
            </w:pPr>
          </w:p>
        </w:tc>
        <w:tc>
          <w:tcPr>
            <w:tcW w:w="9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Full Exercise</w:t>
            </w:r>
          </w:p>
        </w:tc>
        <w:tc>
          <w:tcPr>
            <w:tcW w:w="60" w:type="dxa"/>
            <w:vAlign w:val="bottom"/>
          </w:tcPr>
          <w:p>
            <w:pPr>
              <w:spacing w:after="0"/>
              <w:rPr>
                <w:sz w:val="12"/>
                <w:szCs w:val="12"/>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175,500,000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201,825,000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10,530,000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12,109,500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164,970,000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189,715,500</w:t>
            </w:r>
          </w:p>
        </w:tc>
      </w:tr>
    </w:tbl>
    <w:p>
      <w:pPr>
        <w:spacing w:after="0" w:line="198"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$700,000. We have agreed to reimburse the underwriters for expense relating to clearance of this offering with the Financial Industry Regulatory Authority up to $10,000. In accordance with FINRA Rule 5110, the reimbursed fee is deemed underwriting compensation for this offering.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“RGNX.”</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20"/>
          </w:cols>
          <w:pgMar w:left="24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We and all directors and officers and their affiliates have agreed that, without the prior written consent of Morgan Stanley &amp; Co. LLC, Merrill Lynch, Pierce, Fenner &amp; Smith Incorporated and Barclays Capital Inc. on behalf of the underwriters, we and they will not, during the period ending 60 days after the date of this prospectus supplement, or the restricted period:</w:t>
      </w:r>
    </w:p>
    <w:p>
      <w:pPr>
        <w:spacing w:after="0" w:line="82" w:lineRule="exact"/>
        <w:rPr>
          <w:sz w:val="20"/>
          <w:szCs w:val="20"/>
          <w:color w:val="auto"/>
        </w:rPr>
      </w:pPr>
    </w:p>
    <w:p>
      <w:pPr>
        <w:ind w:left="1060" w:hanging="316"/>
        <w:spacing w:after="0" w:line="266"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81"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w:t>
      </w:r>
    </w:p>
    <w:p>
      <w:pPr>
        <w:spacing w:after="0" w:line="225" w:lineRule="exact"/>
        <w:rPr>
          <w:sz w:val="20"/>
          <w:szCs w:val="20"/>
          <w:color w:val="auto"/>
        </w:rPr>
      </w:pPr>
    </w:p>
    <w:p>
      <w:pPr>
        <w:ind w:left="200" w:right="180" w:firstLine="441"/>
        <w:spacing w:after="0" w:line="255" w:lineRule="auto"/>
        <w:rPr>
          <w:sz w:val="20"/>
          <w:szCs w:val="20"/>
          <w:color w:val="auto"/>
        </w:rPr>
      </w:pPr>
      <w:r>
        <w:rPr>
          <w:rFonts w:ascii="Times New Roman" w:cs="Times New Roman" w:eastAsia="Times New Roman" w:hAnsi="Times New Roman"/>
          <w:sz w:val="18"/>
          <w:szCs w:val="18"/>
          <w:color w:val="auto"/>
        </w:rPr>
        <w:t>In addition, we have agreed that, without the prior written consent of Morgan Stanley &amp; Co. LLC, Merrill Lynch, Pierce, Fenner &amp; Smith Incorporated and Barclays Capital Inc. on behalf of the underwriters, we will not, during the restricted period, file any registration statement with the SEC relating to the offering of any shares of common stock or any securities convertible into or exercisable or exchangeable for common stock, and each of our directors and officers and their affiliates has agreed that, without the prior written consent of Morgan Stanley &amp; Co. LLC, Merrill Lynch, Pierce, Fenner &amp; Smith Incorporated and Barclays Capital Inc. on behalf of the underwriters, he, she or it will not, during the restricted period, make any demand for, or exercise any right with respect to, the registration of any shares of common stock or any security convertible into or exercisable or exchangeable for common stock.</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to do not apply to:</w:t>
      </w:r>
    </w:p>
    <w:p>
      <w:pPr>
        <w:spacing w:after="0" w:line="131" w:lineRule="exact"/>
        <w:rPr>
          <w:sz w:val="20"/>
          <w:szCs w:val="20"/>
          <w:color w:val="auto"/>
        </w:rPr>
      </w:pPr>
    </w:p>
    <w:p>
      <w:pPr>
        <w:ind w:left="1060" w:right="16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as a bona fide gift including to a charitable organization;</w:t>
      </w:r>
    </w:p>
    <w:p>
      <w:pPr>
        <w:spacing w:after="0" w:line="67" w:lineRule="exact"/>
        <w:rPr>
          <w:rFonts w:ascii="Times New Roman" w:cs="Times New Roman" w:eastAsia="Times New Roman" w:hAnsi="Times New Roman"/>
          <w:sz w:val="18"/>
          <w:szCs w:val="18"/>
          <w:color w:val="auto"/>
        </w:rPr>
      </w:pPr>
    </w:p>
    <w:p>
      <w:pPr>
        <w:ind w:left="1060" w:hanging="316"/>
        <w:spacing w:after="0" w:line="258"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of shares of common stock or any security convertible into or exercisable or exchangeable for common stock to limited partners, general partners, managers, directors, officers, employees, members, stockholders or trust beneficiaries or to any controlled investment fund or other entity, including transfers or distributions of such securities to a fund managed by the same manager or managing member or general partner or management company or by an entity controlling, controlled by, or under common control with such manager or managing member or general partner or managing company;</w:t>
      </w:r>
    </w:p>
    <w:p>
      <w:pPr>
        <w:spacing w:after="0" w:line="89" w:lineRule="exact"/>
        <w:rPr>
          <w:rFonts w:ascii="Times New Roman" w:cs="Times New Roman" w:eastAsia="Times New Roman" w:hAnsi="Times New Roman"/>
          <w:sz w:val="18"/>
          <w:szCs w:val="18"/>
          <w:color w:val="auto"/>
        </w:rPr>
      </w:pPr>
    </w:p>
    <w:p>
      <w:pPr>
        <w:ind w:left="1060" w:right="14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common stock by will or other testamentary document or by intestacy;</w:t>
      </w:r>
    </w:p>
    <w:p>
      <w:pPr>
        <w:spacing w:after="0" w:line="67"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trust for the direct or indirect benefit of immediate family members in a transaction not involving a disposition for value;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common stock acquired in open market transactions after the completion of this offering;</w:t>
      </w:r>
    </w:p>
    <w:p>
      <w:pPr>
        <w:spacing w:after="0" w:line="130" w:lineRule="exact"/>
        <w:rPr>
          <w:rFonts w:ascii="Times New Roman" w:cs="Times New Roman" w:eastAsia="Times New Roman" w:hAnsi="Times New Roman"/>
          <w:sz w:val="18"/>
          <w:szCs w:val="18"/>
          <w:color w:val="auto"/>
        </w:rPr>
      </w:pPr>
    </w:p>
    <w:p>
      <w:pPr>
        <w:ind w:left="1060" w:right="260" w:hanging="316"/>
        <w:spacing w:after="0" w:line="261"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options to purchase shares of common stock granted under a stock incentive plan or stock purchase plan described in this prospectus supplement or the exercise of warrants to purchase shares of common stock (or any security convertible into or exercisable or exchangeable for common stock) described in this prospectus supplement and outstanding as of the date of this prospectus supplement, provided that the underlying common stock continues to be subject to the restrictions set forth above;</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80"/>
          </w:cols>
          <w:pgMar w:left="24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80" w:hanging="316"/>
        <w:spacing w:after="0" w:line="26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options to purchase shares of common stock granted under a stock incentive plan or stock purchase plan described in this prospectus supplement pursuant to an arrangement whereby we withhold shares issuable pursuant to such option in payment of the exercise price, provided that the underlying common stock continues to be subject to the restrictions set forth above;</w:t>
      </w:r>
    </w:p>
    <w:p>
      <w:pPr>
        <w:spacing w:after="0" w:line="81"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common stock or any security convertible into or exchangeable for common stock that occurs by operation of law pursuant to a qualified domestic order or in connection with a divorce settlement or other court order;</w:t>
      </w:r>
    </w:p>
    <w:p>
      <w:pPr>
        <w:spacing w:after="0" w:line="67" w:lineRule="exact"/>
        <w:rPr>
          <w:rFonts w:ascii="Times New Roman" w:cs="Times New Roman" w:eastAsia="Times New Roman" w:hAnsi="Times New Roman"/>
          <w:sz w:val="18"/>
          <w:szCs w:val="18"/>
          <w:color w:val="auto"/>
        </w:rPr>
      </w:pPr>
    </w:p>
    <w:p>
      <w:pPr>
        <w:ind w:left="1060" w:right="160" w:hanging="316"/>
        <w:spacing w:after="0" w:line="258"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that satisfies the requirements of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89" w:lineRule="exact"/>
        <w:rPr>
          <w:rFonts w:ascii="Times New Roman" w:cs="Times New Roman" w:eastAsia="Times New Roman" w:hAnsi="Times New Roman"/>
          <w:sz w:val="18"/>
          <w:szCs w:val="18"/>
          <w:color w:val="auto"/>
        </w:rPr>
      </w:pPr>
    </w:p>
    <w:p>
      <w:pPr>
        <w:jc w:val="both"/>
        <w:ind w:left="1060" w:right="40" w:hanging="316"/>
        <w:spacing w:after="0" w:line="261"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us of common stock upon a vesting event or upon the exercise of options or warrants to purchase common stock, in each case on a “cashless” or “net exercise” basis or to cover tax withholding obligations in connection with such vesting or exercise, provided that no filing under Section 16(a) of the Exchange Act, reporting a reduction in beneficial ownership of common stock, shall be required or shall be voluntarily made;</w:t>
      </w:r>
    </w:p>
    <w:p>
      <w:pPr>
        <w:spacing w:after="0" w:line="85" w:lineRule="exact"/>
        <w:rPr>
          <w:rFonts w:ascii="Times New Roman" w:cs="Times New Roman" w:eastAsia="Times New Roman" w:hAnsi="Times New Roman"/>
          <w:sz w:val="18"/>
          <w:szCs w:val="18"/>
          <w:color w:val="auto"/>
        </w:rPr>
      </w:pPr>
    </w:p>
    <w:p>
      <w:pPr>
        <w:ind w:left="1060" w:right="260" w:hanging="316"/>
        <w:spacing w:after="0" w:line="261"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connection with a bona fide third party tender offer, merger, consolidation or other similar transaction that is approved by our board of directors, made to all holders of our common stock involving a change of control occurring after the closing of this offering, provided that in the event that the tender offer, merger, consolidation or other such transaction is not completed, the common stock shall remain subject to the restrictions in the immediately preceding paragraph; and</w:t>
      </w:r>
    </w:p>
    <w:p>
      <w:pPr>
        <w:spacing w:after="0" w:line="85" w:lineRule="exact"/>
        <w:rPr>
          <w:rFonts w:ascii="Times New Roman" w:cs="Times New Roman" w:eastAsia="Times New Roman" w:hAnsi="Times New Roman"/>
          <w:sz w:val="18"/>
          <w:szCs w:val="18"/>
          <w:color w:val="auto"/>
        </w:rPr>
      </w:pPr>
    </w:p>
    <w:p>
      <w:pPr>
        <w:ind w:left="1060" w:hanging="316"/>
        <w:spacing w:after="0" w:line="258"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up to 55,030 shares in the aggregate of common stock pursuant to any contract, instruction or plan that satisfies the requirements of Rule 10b5-1 under the Exchange Act that has been entered into prior to the date of this offering, provided that (i) to the extent a public announcement or filing under the Exchange Act is required of such plan, such announcement or filing shall include a statement to the effect that the transfer was pursuant to an existing 10b5-1 plan and (ii) no filing under Section 16(a) of the Exchange Act shall be voluntarily made by or on behalf of the undersigned or us regarding such plan;</w:t>
      </w:r>
    </w:p>
    <w:p>
      <w:pPr>
        <w:spacing w:after="0" w:line="184"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provided further that (i) in the case of any transfer or distribution as described in the first, second, third, fourth or eighth bullet point above, the recipient shall agree to be subject to the restrictions described in the immediately preceding paragraph and (ii) in the case of any transfer or distribution described in the first, second, fourth, fifth, seventh or eighth bullet point above, no filing under Section 16(a) of the Exchange Act, reporting a reduction in beneficial ownership of shares of common stock, will be required or will be voluntarily made during the restricted period.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the restrictions described in the paragraph above relating to us do not apply to:</w:t>
      </w:r>
    </w:p>
    <w:p>
      <w:pPr>
        <w:spacing w:after="0" w:line="131" w:lineRule="exact"/>
        <w:rPr>
          <w:sz w:val="20"/>
          <w:szCs w:val="20"/>
          <w:color w:val="auto"/>
        </w:rPr>
      </w:pPr>
    </w:p>
    <w:p>
      <w:pPr>
        <w:ind w:left="1060" w:hanging="31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in this offering;</w:t>
      </w:r>
    </w:p>
    <w:p>
      <w:pPr>
        <w:spacing w:after="0" w:line="130" w:lineRule="exact"/>
        <w:rPr>
          <w:rFonts w:ascii="Times New Roman" w:cs="Times New Roman" w:eastAsia="Times New Roman" w:hAnsi="Times New Roman"/>
          <w:sz w:val="18"/>
          <w:szCs w:val="18"/>
          <w:color w:val="auto"/>
        </w:rPr>
      </w:pPr>
    </w:p>
    <w:p>
      <w:pPr>
        <w:ind w:left="1060" w:right="340" w:hanging="316"/>
        <w:spacing w:after="0" w:line="266"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shares of common stock or securities convertible into or exercisable for shares of common stock upon the exercise of an option or warrant or the conversion of a security outstanding on the date of the purchase agreement and disclosed in this prospectus supplement;</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00"/>
          </w:cols>
          <w:pgMar w:left="24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61"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shares of common stock or other securities convertible into or exercisable for shares of common stock pursuant to our equity incentive plans described in this prospectus supplement, provided that, prior to the issuance of any such shares of common stock or other securities where the shares of common stock or other securities vest within the restricted period, we will cause each recipient of such grant or issuance to execute a lock-up agreement; and</w:t>
      </w:r>
    </w:p>
    <w:p>
      <w:pPr>
        <w:spacing w:after="0" w:line="85" w:lineRule="exact"/>
        <w:rPr>
          <w:rFonts w:ascii="Times New Roman" w:cs="Times New Roman" w:eastAsia="Times New Roman" w:hAnsi="Times New Roman"/>
          <w:sz w:val="18"/>
          <w:szCs w:val="18"/>
          <w:color w:val="auto"/>
        </w:rPr>
      </w:pPr>
    </w:p>
    <w:p>
      <w:pPr>
        <w:ind w:left="1060" w:right="20" w:hanging="316"/>
        <w:spacing w:after="0" w:line="255"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provided that the aggregate number of shares of common stock that we may sell or issue or agree to sell or issue, or that may be issuable upon conversion or exercise of all other securities that we may sell or issue or agree to sell or issue, pursuant to this exception shall not exceed 5% of the total number of shares of common stock issued and outstanding immediately following the completion of this offering, and provided further, that each recipient of shares or other securities issued pursuant to this exception shall be subject to the restrictions described in the paragraph above.</w:t>
      </w:r>
    </w:p>
    <w:p>
      <w:pPr>
        <w:spacing w:after="0" w:line="189"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Morgan Stanley &amp; Co. LLC, Merrill Lynch, Pierce, Fenner &amp; Smith Incorporated and Barclays Capital Inc. in their sole discretion, may release the common stock and other securities subject to the lock-up agreements described above in whole or in part at any time.</w:t>
      </w:r>
    </w:p>
    <w:p>
      <w:pPr>
        <w:spacing w:after="0" w:line="162" w:lineRule="exact"/>
        <w:rPr>
          <w:sz w:val="20"/>
          <w:szCs w:val="20"/>
          <w:color w:val="auto"/>
        </w:rPr>
      </w:pPr>
    </w:p>
    <w:p>
      <w:pPr>
        <w:ind w:left="200" w:right="100" w:firstLine="441"/>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20"/>
          </w:cols>
          <w:pgMar w:left="24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or each Relevant Member State, an offer of shares to the public of any shares of our common stock may not be made in that Relevant Member State, except that an offer of shares to the public in that Relevant Member State of any shares of our common stock may be made at any time under the following exemptions under the Prospectus Directive:</w:t>
      </w:r>
    </w:p>
    <w:p>
      <w:pPr>
        <w:spacing w:after="0" w:line="86" w:lineRule="exact"/>
        <w:rPr>
          <w:sz w:val="20"/>
          <w:szCs w:val="20"/>
          <w:color w:val="auto"/>
        </w:rPr>
      </w:pPr>
    </w:p>
    <w:p>
      <w:pPr>
        <w:ind w:left="640" w:hanging="43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or</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225" w:lineRule="exact"/>
        <w:rPr>
          <w:sz w:val="20"/>
          <w:szCs w:val="20"/>
          <w:color w:val="auto"/>
        </w:rPr>
      </w:pPr>
    </w:p>
    <w:p>
      <w:pPr>
        <w:ind w:left="200" w:right="10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of our common stock shall result in a requirement for the publication by us or any underwriter of a prospectus pursuant to Article 3 of the Prospectus Directive and each person who initially acquires any shares of common stock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18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the case of any shares of our common stock being offered to a financial intermediary as that term is used in Article 3(2) of the Prospectus Directive, each such financial intermediary will be deemed to have represented, acknowledged and agreed that the shares of our common stock acquired by it in the offer have not been acquired on a non-discretionary basis on behalf of, nor have they been acquired with a view to their offer or resale to, persons in circumstances which may give rise to an offer of any shares of our common stock to the public other than their offer or resale in a Relevant Member State to qualified investors as so defined or in circumstances in which the prior consent of the representatives has been obtained to each such proposed offer or resale.</w:t>
      </w:r>
    </w:p>
    <w:p>
      <w:pPr>
        <w:spacing w:after="0" w:line="188"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For the purposes of the above provisions, the expression an “offer of shares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and the expression “Prospectus Directive” means Directive 2003/71/EC (as amended), and includes any relevant implementing measure in the Relevant Member State.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640" w:right="80" w:hanging="436"/>
        <w:spacing w:after="0" w:line="261"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of our common stock in circumstances in which Section 21(1) of the FSMA does not apply to us; and</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80"/>
          </w:cols>
          <w:pgMar w:left="24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340" w:hanging="436"/>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the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referred to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200" w:right="320" w:firstLine="441"/>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200" w:right="380" w:firstLine="441"/>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00"/>
          </w:cols>
          <w:pgMar w:left="24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200" w:right="140" w:firstLine="441"/>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60" w:right="200" w:hanging="424"/>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60" w:right="420" w:hanging="424"/>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00"/>
          </w:cols>
          <w:pgMar w:left="24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2" w:lineRule="exact"/>
        <w:rPr>
          <w:sz w:val="20"/>
          <w:szCs w:val="20"/>
          <w:color w:val="auto"/>
        </w:rPr>
      </w:pPr>
    </w:p>
    <w:p>
      <w:pPr>
        <w:ind w:left="1060" w:right="80" w:hanging="424"/>
        <w:spacing w:after="0" w:line="282"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4"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60"/>
          </w:cols>
          <w:pgMar w:left="240" w:top="455"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The validity of the common stock offered hereby and certain legal matters in connection with this offering will be passed upon by Covington &amp; Burling LLP, Washington, D.C. Certain legal matters related to this offering will be passed upon for the underwriters by Davis Polk &amp; Wardwell LLP, New York, New York.</w:t>
      </w: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We file annual, quarterly and other reports, proxy and information statements and other information with the SEC. Our SEC filings are available without charge on our website, www.regenxbio.com, and the SEC’s website, www.sec.gov as soon as reasonably practicable after we file them with, or furnish them to, the SEC. Copies of these materials may be inspected and copied at the SEC’s Public Reference Room at 100 F Street, N.E., Washington, D.C. 20549. Please call the SEC at 1-800-SEC-0330 for further information on the Public Reference Room. You may obtain copies of our filings by writing to the SEC at the address above and paying prescribed rates. You also may obtain, free of charge, a copy of any of these documents (other than exhibits to these documents unless the exhibits are specifically incorporated by reference into these documents or referred to in this prospectus supplement) by writing or calling us at the following address or telephone number:</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REGENXBIO Inc.</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9600 Blackwell Road, Suite 210</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Rockville, MD 20850</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(240) 552-8181</w:t>
      </w: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contained in documents that we file with it, which means that we can disclose important information to you by referring you to those documents. The information incorporated by reference is an important part of this prospectus supplement, and information that we subsequently file with the SEC will automatically update and supersede this information. The following documents that we previously filed with the SEC (File No. 001-37553) are incorporated by reference herein:</w:t>
      </w:r>
    </w:p>
    <w:p>
      <w:pPr>
        <w:spacing w:after="0" w:line="86" w:lineRule="exact"/>
        <w:rPr>
          <w:sz w:val="20"/>
          <w:szCs w:val="20"/>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2017, filed with the SEC on March 6, 2018;</w:t>
      </w:r>
    </w:p>
    <w:p>
      <w:pPr>
        <w:spacing w:after="0" w:line="130"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our Definitive Proxy Statement on Schedule 14A for our 2018 Annual Meeting of Stockholders, filed with the SEC on April 12, 2018, to the extent incorporated by reference in Part III of our Annual Report on Form 10-K for the year ended December 31, 2017;</w:t>
      </w:r>
    </w:p>
    <w:p>
      <w:pPr>
        <w:spacing w:after="0" w:line="81" w:lineRule="exact"/>
        <w:rPr>
          <w:rFonts w:ascii="Times New Roman" w:cs="Times New Roman" w:eastAsia="Times New Roman" w:hAnsi="Times New Roman"/>
          <w:sz w:val="18"/>
          <w:szCs w:val="18"/>
          <w:color w:val="auto"/>
        </w:rPr>
      </w:pPr>
    </w:p>
    <w:p>
      <w:pPr>
        <w:ind w:left="1060" w:right="60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2018 and June 30, 2018, filed with the SEC on May 8, 2018 and August 8, 2018, respectively;</w:t>
      </w:r>
    </w:p>
    <w:p>
      <w:pPr>
        <w:spacing w:after="0" w:line="67"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January 4, 2018 (with respect to Item 8.01 only), January 9, 2018 (with respect to Item 1.01 only), January 11, 2018 (as amended on February 1, 2018), May 29, 2018 and June 11, 2018;</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240" w:top="455" w:right="5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the Registration Statement on Form 8-A, filed on September 9, 2015, and all amendments and reports updating such description.</w:t>
      </w:r>
    </w:p>
    <w:p>
      <w:pPr>
        <w:spacing w:after="0" w:line="162"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All reports and other documents that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time of the filing of such reports and documents.</w:t>
      </w:r>
    </w:p>
    <w:p>
      <w:pPr>
        <w:spacing w:after="0" w:line="17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as further supplemented may contain information that updates, modifies or is contrary to information herein or in one or more of the documents incorporated by reference in this prospectus supplement or the accompanying prospectus. You should rely only on the information incorporated by reference or provided in this prospectus supplement and accompanying prospectus. We have not authorized anyone else to provide you with different information. You should not assume that the information in this prospectus supplement and the accompanying prospectus is accurate as of any date other than the date of this prospectus supplement, the date of the accompanying prospectus or the date of the documents incorporated by reference in this prospectus supplement and the accompanying prospectus, respectively.</w:t>
      </w: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20"/>
          </w:cols>
          <w:pgMar w:left="24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174625</wp:posOffset>
            </wp:positionV>
            <wp:extent cx="3858895" cy="523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5889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5,057,458 Shares of Common Stock for Resale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157480</wp:posOffset>
            </wp:positionV>
            <wp:extent cx="1466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1" w:lineRule="exact"/>
        <w:rPr>
          <w:sz w:val="20"/>
          <w:szCs w:val="20"/>
          <w:color w:val="auto"/>
        </w:rPr>
      </w:pPr>
    </w:p>
    <w:p>
      <w:pPr>
        <w:ind w:left="200" w:right="440" w:firstLine="441"/>
        <w:spacing w:after="0" w:line="266"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our shares of common stock, shares of preferred stock, warrants, debt securities, rights to purchase common stock, preferred stock, debt securities or units and units that include any of these securities. We may sell any combination of these securities in one or more offerings in amounts, at prices and on terms that we will determine at the time of the offering.</w:t>
      </w:r>
    </w:p>
    <w:p>
      <w:pPr>
        <w:spacing w:after="0" w:line="68"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In addition, the selling stockholders may from time to time offer and sell up to an aggregate of 5,057,458 shares of our common stock. We will not receive any of the proceeds from the sale of our common stock by the selling stockholders.</w:t>
      </w:r>
    </w:p>
    <w:p>
      <w:pPr>
        <w:spacing w:after="0" w:line="54"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In any prospectus supplement relating to any sales by selling stockholders, we will, among other things, identify the number of shares of our common stock that each of the selling stockholders will be selling.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80"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securities may be offered and sold in the same offering or separate offerings directly or to or through underwriters or dealers, and also to other purchasers or through agents. The names of any underwriters or agents that are included in a sale of securities to you, and any applicable commissions or discounts, will be stated in an accompanying prospectus supplement.</w:t>
      </w:r>
    </w:p>
    <w:p>
      <w:pPr>
        <w:spacing w:after="0" w:line="68" w:lineRule="exact"/>
        <w:rPr>
          <w:sz w:val="20"/>
          <w:szCs w:val="20"/>
          <w:color w:val="auto"/>
        </w:rPr>
      </w:pPr>
    </w:p>
    <w:p>
      <w:pPr>
        <w:ind w:left="200" w:right="620" w:firstLine="441"/>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“RGNX.” On August 7, 2018, the closing price of our common stock was $70.80.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123190</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3" w:lineRule="exact"/>
        <w:rPr>
          <w:sz w:val="20"/>
          <w:szCs w:val="20"/>
          <w:color w:val="auto"/>
        </w:rPr>
      </w:pPr>
    </w:p>
    <w:p>
      <w:pPr>
        <w:ind w:left="2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used in the Jumpstart our Business Startups Act of 2012, and have elected to avail ourselves of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121285</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1" w:lineRule="exact"/>
        <w:rPr>
          <w:sz w:val="20"/>
          <w:szCs w:val="20"/>
          <w:color w:val="auto"/>
        </w:rPr>
      </w:pPr>
    </w:p>
    <w:p>
      <w:pPr>
        <w:ind w:left="200" w:right="200" w:firstLine="441"/>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significant risks. Before buying our securities, you should carefully read and consider the risks we describe in this prospectus and in any accompanying prospectus supplement, as well as the risk factors that are incorporated by reference into this prospectus and in any accompanying prospectus supplement from our filings made with the Securities and Exchange Commission. See “</w:t>
      </w:r>
      <w:hyperlink w:anchor="page39">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5 of this prospectus.</w:t>
      </w:r>
    </w:p>
    <w:p>
      <w:pPr>
        <w:spacing w:after="0" w:line="78" w:lineRule="exact"/>
        <w:rPr>
          <w:sz w:val="20"/>
          <w:szCs w:val="20"/>
          <w:color w:val="auto"/>
        </w:rPr>
      </w:pPr>
    </w:p>
    <w:p>
      <w:pPr>
        <w:ind w:left="200" w:right="1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129540</wp:posOffset>
            </wp:positionV>
            <wp:extent cx="1466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8, 2018</w:t>
      </w:r>
    </w:p>
    <w:p>
      <w:pPr>
        <w:sectPr>
          <w:pgSz w:w="11900" w:h="16838" w:orient="portrait"/>
          <w:cols w:equalWidth="0" w:num="1">
            <w:col w:w="11200"/>
          </w:cols>
          <w:pgMar w:left="240" w:top="455" w:right="4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0600" w:type="dxa"/>
            <w:vAlign w:val="bottom"/>
            <w:gridSpan w:val="21"/>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Table of Contents</w:t>
              </w:r>
            </w:hyperlink>
          </w:p>
        </w:tc>
        <w:tc>
          <w:tcPr>
            <w:tcW w:w="5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ABOUT THIS PROSPECTUS</w:t>
              </w:r>
            </w:hyperlink>
          </w:p>
        </w:tc>
        <w:tc>
          <w:tcPr>
            <w:tcW w:w="816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WHERE YOU CAN FIND MORE INFORMATION</w:t>
              </w:r>
            </w:hyperlink>
          </w:p>
        </w:tc>
        <w:tc>
          <w:tcPr>
            <w:tcW w:w="65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0" w:type="dxa"/>
            <w:vAlign w:val="bottom"/>
          </w:tcPr>
          <w:p>
            <w:pPr>
              <w:spacing w:after="0"/>
              <w:rPr>
                <w:sz w:val="17"/>
                <w:szCs w:val="17"/>
                <w:color w:val="auto"/>
              </w:rPr>
            </w:pPr>
          </w:p>
        </w:tc>
        <w:tc>
          <w:tcPr>
            <w:tcW w:w="53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SPECIAL NOTE REGARDING FORWARD-LOOKING STATEMENTS</w:t>
              </w:r>
            </w:hyperlink>
          </w:p>
        </w:tc>
        <w:tc>
          <w:tcPr>
            <w:tcW w:w="506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0" w:type="dxa"/>
            <w:vAlign w:val="bottom"/>
          </w:tcPr>
          <w:p>
            <w:pPr>
              <w:spacing w:after="0"/>
              <w:rPr>
                <w:sz w:val="17"/>
                <w:szCs w:val="17"/>
                <w:color w:val="auto"/>
              </w:rPr>
            </w:pPr>
          </w:p>
        </w:tc>
        <w:tc>
          <w:tcPr>
            <w:tcW w:w="10400" w:type="dxa"/>
            <w:vAlign w:val="bottom"/>
            <w:gridSpan w:val="20"/>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THE COMPANY</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RISK FACTORS</w:t>
              </w:r>
            </w:hyperlink>
          </w:p>
        </w:tc>
        <w:tc>
          <w:tcPr>
            <w:tcW w:w="20" w:type="dxa"/>
            <w:vAlign w:val="bottom"/>
            <w:tcBorders>
              <w:top w:val="single" w:sz="8" w:color="0000EE"/>
            </w:tcBorders>
          </w:tcPr>
          <w:p>
            <w:pPr>
              <w:spacing w:after="0"/>
              <w:rPr>
                <w:sz w:val="17"/>
                <w:szCs w:val="17"/>
                <w:color w:val="auto"/>
              </w:rPr>
            </w:pPr>
          </w:p>
        </w:tc>
        <w:tc>
          <w:tcPr>
            <w:tcW w:w="9120" w:type="dxa"/>
            <w:vAlign w:val="bottom"/>
            <w:gridSpan w:val="1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0" w:type="dxa"/>
            <w:vAlign w:val="bottom"/>
          </w:tcPr>
          <w:p>
            <w:pPr>
              <w:spacing w:after="0"/>
              <w:rPr>
                <w:sz w:val="17"/>
                <w:szCs w:val="17"/>
                <w:color w:val="auto"/>
              </w:rPr>
            </w:pPr>
          </w:p>
        </w:tc>
        <w:tc>
          <w:tcPr>
            <w:tcW w:w="100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RATIO OF EARNINGS TO FIXED CHARGES AND RATIO OF EARNINGS TO COMBINED FIXED CHARGES AND PREFERRED</w:t>
              </w:r>
            </w:hyperlink>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STOCK DIVIDENDS</w:t>
              </w:r>
            </w:hyperlink>
          </w:p>
        </w:tc>
        <w:tc>
          <w:tcPr>
            <w:tcW w:w="860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0" w:type="dxa"/>
            <w:vAlign w:val="bottom"/>
          </w:tcPr>
          <w:p>
            <w:pPr>
              <w:spacing w:after="0"/>
              <w:rPr>
                <w:sz w:val="17"/>
                <w:szCs w:val="17"/>
                <w:color w:val="auto"/>
              </w:rPr>
            </w:pPr>
          </w:p>
        </w:tc>
        <w:tc>
          <w:tcPr>
            <w:tcW w:w="10400" w:type="dxa"/>
            <w:vAlign w:val="bottom"/>
            <w:gridSpan w:val="20"/>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USE OF PROCEEDS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DESCRIPTION OF CAPITAL STOCK</w:t>
              </w:r>
            </w:hyperlink>
          </w:p>
        </w:tc>
        <w:tc>
          <w:tcPr>
            <w:tcW w:w="752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0" w:type="dxa"/>
            <w:vAlign w:val="bottom"/>
          </w:tcPr>
          <w:p>
            <w:pPr>
              <w:spacing w:after="0"/>
              <w:rPr>
                <w:sz w:val="17"/>
                <w:szCs w:val="17"/>
                <w:color w:val="auto"/>
              </w:rPr>
            </w:pPr>
          </w:p>
        </w:tc>
        <w:tc>
          <w:tcPr>
            <w:tcW w:w="10400" w:type="dxa"/>
            <w:vAlign w:val="bottom"/>
            <w:gridSpan w:val="20"/>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DESCRIPTION OF WARRANTS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400" w:type="dxa"/>
            <w:vAlign w:val="bottom"/>
            <w:gridSpan w:val="20"/>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DESCRIPTION OF DEBT SECURITIES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DESCRIPTION OF RIGHTS</w:t>
              </w:r>
            </w:hyperlink>
          </w:p>
        </w:tc>
        <w:tc>
          <w:tcPr>
            <w:tcW w:w="738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0" w:type="dxa"/>
            <w:vAlign w:val="bottom"/>
          </w:tcPr>
          <w:p>
            <w:pPr>
              <w:spacing w:after="0"/>
              <w:rPr>
                <w:sz w:val="17"/>
                <w:szCs w:val="17"/>
                <w:color w:val="auto"/>
              </w:rPr>
            </w:pPr>
          </w:p>
        </w:tc>
        <w:tc>
          <w:tcPr>
            <w:tcW w:w="21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DESCRIPTION OF UNITS</w:t>
              </w:r>
            </w:hyperlink>
          </w:p>
        </w:tc>
        <w:tc>
          <w:tcPr>
            <w:tcW w:w="8260" w:type="dxa"/>
            <w:vAlign w:val="bottom"/>
            <w:gridSpan w:val="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2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1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SELLING STOCKHOLDERS</w:t>
              </w:r>
            </w:hyperlink>
          </w:p>
        </w:tc>
        <w:tc>
          <w:tcPr>
            <w:tcW w:w="818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PLAN OF DISTRIBUTION</w:t>
              </w:r>
            </w:hyperlink>
          </w:p>
        </w:tc>
        <w:tc>
          <w:tcPr>
            <w:tcW w:w="834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LEGAL MATTERS</w:t>
              </w:r>
            </w:hyperlink>
          </w:p>
        </w:tc>
        <w:tc>
          <w:tcPr>
            <w:tcW w:w="8940" w:type="dxa"/>
            <w:vAlign w:val="bottom"/>
            <w:gridSpan w:val="1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EXPERTS</w:t>
              </w:r>
            </w:hyperlink>
          </w:p>
        </w:tc>
        <w:tc>
          <w:tcPr>
            <w:tcW w:w="9620" w:type="dxa"/>
            <w:vAlign w:val="bottom"/>
            <w:gridSpan w:val="1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240" w:top="446"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or the SEC, as a “well-known seasoned issuer,” as defined under Rule 405 under the Securities Act of 1933, or the Securities Act. Under this shelf registration process, we may, from time to time, offer or sell any combination of the securities described in this prospectus in one or more offerings in amounts, at prices and on terms that we determine at the time of the offering. In addition, under this shelf registration process, the selling stockholders may from time to time sell up to an aggregate of 5,057,458 shares of our common stock in one or more offerings.</w:t>
      </w:r>
    </w:p>
    <w:p>
      <w:pPr>
        <w:spacing w:after="0" w:line="184"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the selling stockholders may offer. Each time we or the selling stockholders offer securities under this registration statement, we will describe in a prospectus supplement, which will be delivered with this prospectus, specific information about the offering and the terms of the particular securities offered. The specific terms of the offered securities may vary from the general terms of the securities described in this prospectus, and accordingly the description of the securities contained in this prospectus is subject to, and qualified by reference to, the specific terms of the offered securities contained in the applicable prospectus supplement.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 For more detailed information about the securities, you can also read the exhibits to the registration statement. Those exhibits have been either filed with the registration statement or incorporated by reference to earlier SEC filings listed in the registration statement.</w:t>
      </w:r>
    </w:p>
    <w:p>
      <w:pPr>
        <w:spacing w:after="0" w:line="182"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Neither we nor the selling stockholders have authorized anyone to provide you with information in addition to or different from that contained in this prospectus or any applicable prospectus supplement. We take no responsibility for, and can provide no assurance as to the reliability of, any information that others may provide. We and the selling stockholders will be offering to sell, and seeking offers to buy, the shares only in jurisdictions where offers and sales are permitted. You should not assume that the information in this prospectus, any applicable prospectus supplement or any free writing prospectus that we have prepared is accurate as of any date other than the date of those documents, and that any information in documents that we have incorporated by reference is accurate only as of the date of the document incorporated by reference, regardless of the time of delivery of this prospectus or any prospectus supplement or any sale of a security.</w:t>
      </w:r>
    </w:p>
    <w:p>
      <w:pPr>
        <w:spacing w:after="0" w:line="187"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throughout this prospectus and any applicable prospectus supplement, the words “REGENXBIO,” “we,” or “us” refer to REGENXBIO Inc. and the term “securities” refers collectively to the securities registered hereunder or any combination thereof.</w:t>
      </w:r>
    </w:p>
    <w:p>
      <w:pPr>
        <w:spacing w:after="0" w:line="162" w:lineRule="exact"/>
        <w:rPr>
          <w:sz w:val="20"/>
          <w:szCs w:val="20"/>
          <w:color w:val="auto"/>
        </w:rPr>
      </w:pPr>
    </w:p>
    <w:p>
      <w:pPr>
        <w:ind w:left="200" w:right="620" w:firstLine="441"/>
        <w:spacing w:after="0" w:line="282" w:lineRule="auto"/>
        <w:rPr>
          <w:sz w:val="20"/>
          <w:szCs w:val="20"/>
          <w:color w:val="auto"/>
        </w:rPr>
      </w:pPr>
      <w:r>
        <w:rPr>
          <w:rFonts w:ascii="Times New Roman" w:cs="Times New Roman" w:eastAsia="Times New Roman" w:hAnsi="Times New Roman"/>
          <w:sz w:val="18"/>
          <w:szCs w:val="18"/>
          <w:color w:val="auto"/>
        </w:rPr>
        <w:t>NAV, REGENXBIO and the REGENXBIO logos are our registered trademarks. Any other trademarks appearing in this prospectus are the property of their respective holders.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200" w:firstLine="441"/>
        <w:spacing w:after="0" w:line="289" w:lineRule="auto"/>
        <w:rPr>
          <w:sz w:val="20"/>
          <w:szCs w:val="20"/>
          <w:color w:val="auto"/>
        </w:rPr>
      </w:pPr>
      <w:r>
        <w:rPr>
          <w:rFonts w:ascii="Times New Roman" w:cs="Times New Roman" w:eastAsia="Times New Roman" w:hAnsi="Times New Roman"/>
          <w:sz w:val="17"/>
          <w:szCs w:val="17"/>
          <w:color w:val="auto"/>
        </w:rPr>
        <w:t xml:space="preserve">We file annual, quarterly and other reports, proxy and information statements and other information with the SEC. Our SEC filings are available to the public on the SEC’s website,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You may also read and copy these materials at the public reference room maintained by the SEC at 100 F Street, N.E., Washington, D.C. 20549. Please call the SEC at 1-800-SEC-0330 for further information on the operation of its public reference room.</w:t>
      </w:r>
    </w:p>
    <w:p>
      <w:pPr>
        <w:spacing w:after="0" w:line="156"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We make available, free of charge, through our website at </w:t>
      </w:r>
      <w:r>
        <w:rPr>
          <w:rFonts w:ascii="Times New Roman" w:cs="Times New Roman" w:eastAsia="Times New Roman" w:hAnsi="Times New Roman"/>
          <w:sz w:val="18"/>
          <w:szCs w:val="18"/>
          <w:i w:val="1"/>
          <w:iCs w:val="1"/>
          <w:color w:val="auto"/>
        </w:rPr>
        <w:t>www.regenxbio.com</w:t>
      </w:r>
      <w:r>
        <w:rPr>
          <w:rFonts w:ascii="Times New Roman" w:cs="Times New Roman" w:eastAsia="Times New Roman" w:hAnsi="Times New Roman"/>
          <w:sz w:val="18"/>
          <w:szCs w:val="18"/>
          <w:color w:val="auto"/>
        </w:rPr>
        <w:t xml:space="preserve"> our Annual Reports on Form 10-K, Quarterly Reports on Form 10-Q, Current Reports on Form 8-K and proxy and information statements, including any applicable amendments, filed or furnished pursuant to Section 13(a), 13(c), 14 or 15(d) of the Securities Exchange Act of 1934, or the Exchange Act, as soon as reasonably practicable after we electronically file such material with, or furnish it to, the SEC. Information on, or that can be accessed through, our website is not incorporated into this prospectus or other securities filings and is not a part of these filings. You may also obtain, free of charge, a copy of any of these documents (other than exhibits to these documents unless the exhibits are specifically incorporated by reference into these documents or referred to in this prospectus) by writing or calling us at:</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REGENXBIO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9600 Blackwell Road, Suite 210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Rockville, MD 20850</w:t>
      </w:r>
    </w:p>
    <w:p>
      <w:pPr>
        <w:spacing w:after="0" w:line="9" w:lineRule="exact"/>
        <w:rPr>
          <w:sz w:val="20"/>
          <w:szCs w:val="20"/>
          <w:color w:val="auto"/>
        </w:rPr>
      </w:pPr>
    </w:p>
    <w:p>
      <w:pPr>
        <w:ind w:left="5580" w:hanging="428"/>
        <w:spacing w:after="0"/>
        <w:tabs>
          <w:tab w:leader="none" w:pos="5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552-8181</w:t>
      </w:r>
    </w:p>
    <w:p>
      <w:pPr>
        <w:spacing w:after="0" w:line="139"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24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an important part of this prospectus, and information that we subsequently file with the SEC will automatically update and supersede this information. The following documents that we previously filed with the SEC (File No. 001-37553) are incorporated by reference herein:</w:t>
      </w:r>
    </w:p>
    <w:p>
      <w:pPr>
        <w:spacing w:after="0" w:line="86" w:lineRule="exact"/>
        <w:rPr>
          <w:sz w:val="20"/>
          <w:szCs w:val="20"/>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2017, filed with the SEC on March 6, 2018;</w:t>
      </w:r>
    </w:p>
    <w:p>
      <w:pPr>
        <w:spacing w:after="0" w:line="130" w:lineRule="exact"/>
        <w:rPr>
          <w:rFonts w:ascii="Times New Roman" w:cs="Times New Roman" w:eastAsia="Times New Roman" w:hAnsi="Times New Roman"/>
          <w:sz w:val="18"/>
          <w:szCs w:val="18"/>
          <w:color w:val="auto"/>
        </w:rPr>
      </w:pPr>
    </w:p>
    <w:p>
      <w:pPr>
        <w:ind w:left="860" w:right="40" w:hanging="224"/>
        <w:spacing w:after="0" w:line="266" w:lineRule="auto"/>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our Definitive Proxy Statement on Schedule 14A for our 2018 Annual Meeting of Stockholders, filed with the SEC on April 12, 2018 to the extent incorporated by reference in Part III of our Annual Report on Form 10-K for the year ended December 31, 2017;</w:t>
      </w:r>
    </w:p>
    <w:p>
      <w:pPr>
        <w:spacing w:after="0" w:line="81" w:lineRule="exact"/>
        <w:rPr>
          <w:rFonts w:ascii="Times New Roman" w:cs="Times New Roman" w:eastAsia="Times New Roman" w:hAnsi="Times New Roman"/>
          <w:sz w:val="18"/>
          <w:szCs w:val="18"/>
          <w:color w:val="auto"/>
        </w:rPr>
      </w:pPr>
    </w:p>
    <w:p>
      <w:pPr>
        <w:ind w:left="860" w:right="900" w:hanging="224"/>
        <w:spacing w:after="0" w:line="282" w:lineRule="auto"/>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2018 and June 30, 2018, filed with the SEC on May 8, 2018 and August 8, 2018, respectively;</w:t>
      </w:r>
    </w:p>
    <w:p>
      <w:pPr>
        <w:spacing w:after="0" w:line="67" w:lineRule="exact"/>
        <w:rPr>
          <w:rFonts w:ascii="Times New Roman" w:cs="Times New Roman" w:eastAsia="Times New Roman" w:hAnsi="Times New Roman"/>
          <w:sz w:val="18"/>
          <w:szCs w:val="18"/>
          <w:color w:val="auto"/>
        </w:rPr>
      </w:pPr>
    </w:p>
    <w:p>
      <w:pPr>
        <w:ind w:left="860" w:hanging="224"/>
        <w:spacing w:after="0" w:line="282" w:lineRule="auto"/>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January 4, 2018 (with respect to Item 8.01 only), January 9, 2018 (with respect to Item 1.01 only), January 11, 2018 (as amended on February 1, 2018), May 29, 2018 and June 11, 2018;</w:t>
      </w:r>
    </w:p>
    <w:p>
      <w:pPr>
        <w:spacing w:after="0" w:line="67" w:lineRule="exact"/>
        <w:rPr>
          <w:rFonts w:ascii="Times New Roman" w:cs="Times New Roman" w:eastAsia="Times New Roman" w:hAnsi="Times New Roman"/>
          <w:sz w:val="18"/>
          <w:szCs w:val="18"/>
          <w:color w:val="auto"/>
        </w:rPr>
      </w:pPr>
    </w:p>
    <w:p>
      <w:pPr>
        <w:ind w:left="860" w:right="220" w:hanging="224"/>
        <w:spacing w:after="0" w:line="282" w:lineRule="auto"/>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on September 9, 2015, and all amendments and reports updating such description.</w:t>
      </w:r>
    </w:p>
    <w:p>
      <w:pPr>
        <w:spacing w:after="0" w:line="162" w:lineRule="exact"/>
        <w:rPr>
          <w:sz w:val="20"/>
          <w:szCs w:val="20"/>
          <w:color w:val="auto"/>
        </w:rPr>
      </w:pPr>
    </w:p>
    <w:p>
      <w:pPr>
        <w:ind w:left="200" w:right="520" w:firstLine="441"/>
        <w:spacing w:after="0" w:line="266" w:lineRule="auto"/>
        <w:rPr>
          <w:sz w:val="20"/>
          <w:szCs w:val="20"/>
          <w:color w:val="auto"/>
        </w:rPr>
      </w:pPr>
      <w:r>
        <w:rPr>
          <w:rFonts w:ascii="Times New Roman" w:cs="Times New Roman" w:eastAsia="Times New Roman" w:hAnsi="Times New Roman"/>
          <w:sz w:val="18"/>
          <w:szCs w:val="18"/>
          <w:color w:val="auto"/>
        </w:rPr>
        <w:t>All reports and other documents that we subsequently file pursuant to Section 13(a), 13(c), 14 or 15(d) of the Exchange Act prior to the completion of the sales of the securities offered hereby, but excluding any information furnished to, rather than filed with, the SEC, will also be incorporated by reference into this prospectus and deemed to be part of this prospectus from the time of the filing of such reports and documents.</w:t>
      </w:r>
    </w:p>
    <w:p>
      <w:pPr>
        <w:spacing w:after="0" w:line="176"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This prospectus and the applicable prospectus supplement may contain information that updates, modifies or is contrary to information herein or in one or more of the documents incorporated by reference in this prospectus. You should rely only on the information incorporated by reference or provided in this prospectus, the applicable prospectus supplement or any free writing prospectus that we have prepared that relates to a particular offering. We have not authorized anyone else to provide you with different or additional information. You should not assume that the information in this prospectus is accurate as of any date other than the date of this prospectus or the date of the documents incorporated by reference in this prospectus.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24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“forward-looking statements” within the meaning of Section 27A of the Securities Act and Section 21E of the Exchange Act, which are subject to the safe harbor created by those sections for such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assumptions and other important factors, including those described in this prospectus and the documents incorporated herein by reference, particularly in the sections of such documents titled “Risk Factors” and “Management’s Discussion and Analysis of Financial Condition and Results of Operations”. In light of these risks, uncertainties, assumptions and other factors, the forward-looking events and circumstances discussed in this prospectus and the information incorporated by reference herein may not occur, and actual results could differ materially and adversely from those anticipated or implied in the forward-looking statements. Given these uncertainties, you should not place undue reliance on these forward-looking statements.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31" w:lineRule="exact"/>
        <w:rPr>
          <w:sz w:val="20"/>
          <w:szCs w:val="20"/>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enrollment, commencement and completion and the success of clinical trials conducted by us, our licensees and our partners;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commencement and completion and the success of preclinical studies conducted by us and our development partners;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development and launch of new products;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regulatory approval of our product candidates, and the labeling for any approved products;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and costs of developing and commercializing our product candidates;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and technology;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competition;</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trends and challenges in our business and the market in which we operate;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retain key personnel;</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the ability to serve those markets;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of our product candidates;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development partnerships;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expenses and revenue;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developments in the United States and foreign countries;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sufficiency of our cash and cash equivalents and needs for additional financing.</w:t>
      </w:r>
    </w:p>
    <w:p>
      <w:pPr>
        <w:spacing w:after="0" w:line="225"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 of activity, performance or achievements. Any forward-looking statement made by us in this prospectus and the information incorporated by reference herein speaks only as of the date of the respective document. Except as required by law, we disclaim any duty to update any of these forward-looking statements after the date such statements are made, or to update the reasons actual results could differ materially from those anticipated in these forward-looking statements, even if new information becomes available in the future.</w:t>
      </w:r>
    </w:p>
    <w:p>
      <w:pPr>
        <w:spacing w:after="0" w:line="184"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You should read this prospectus and the documents contained or incorporated by reference herein completely and with the understanding that our actual future results may be materially different from what we expect.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All written and verbal forward-looking statements attributable to us or any person acting on our behalf are expressly qualified in their entirety by the cautionary statements contained or referred to in this section. We caution investors not to rely too heavily on the forward-looking statements we make or that are made on our behalf.</w:t>
      </w:r>
    </w:p>
    <w:p>
      <w:pPr>
        <w:spacing w:after="0" w:line="17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addition, you should refer to the section of this prospectus entitled “Risk Factors” as well as the “Risk Factors” disclosed in the documents we have incorporated by reference,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to which these forward-looking statements are subject, you should not regard these statements as a representation or warranty by us or any other person that we will achieve our objectives and plans in any specified time frame, or at all.</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240" w:top="455" w:right="4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We are a leading clinical-stage biotechnology company seeking to improve lives through the curative potential of gene therapy. Our gene therapy product candidates are designed to deliver genes to cells to address genetic defects or to enable cells in the body to produce therapeutic proteins that are intended to impact disease. Through a single administration, our gene therapy product candidates are designed to provide long-lasting effects, potentially significantly altering the course of disease and delivering improved patient outcomes.</w:t>
      </w:r>
    </w:p>
    <w:p>
      <w:pPr>
        <w:spacing w:after="0" w:line="180" w:lineRule="exact"/>
        <w:rPr>
          <w:sz w:val="20"/>
          <w:szCs w:val="20"/>
          <w:color w:val="auto"/>
        </w:rPr>
      </w:pPr>
    </w:p>
    <w:p>
      <w:pPr>
        <w:jc w:val="both"/>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Our product candidates all utilize viral vectors from our NAV Technology Platform, which consists of exclusive rights to AAV7, AAV8, AAV9 AAVrh10 and over 100 other novel adeno-associated virus, or AAV, gene delivery vectors. We and our third-party NAV technology platform licensees are applying the NAV Technology Platform in the development of a broad pipeline of product candidates in multiple therapeutic areas.</w:t>
      </w:r>
    </w:p>
    <w:p>
      <w:pPr>
        <w:spacing w:after="0" w:line="176" w:lineRule="exact"/>
        <w:rPr>
          <w:sz w:val="20"/>
          <w:szCs w:val="20"/>
          <w:color w:val="auto"/>
        </w:rPr>
      </w:pPr>
    </w:p>
    <w:p>
      <w:pPr>
        <w:ind w:left="200" w:right="980" w:firstLine="441"/>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9600 Blackwell Road, Suite 210, Rockville, Maryland 20850 and our telephone number is (240) 552-8181.</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the specific risks discussed or incorporated by reference into this prospectus and the applicable prospectus supplement, together with all the other information contained in this prospectus and the applicable prospectus supplement or incorporated by reference into this prospectus and the applicable prospectus supplement, including the risks, uncertainties and assumptions discussed under the caption “Risk Factors” in documents we file from time to time with the SEC, specifically our most recent Annual Report on Form 10-K, our Quarterly Reports on Form 10-Q and our Current Reports on Form 8-K.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3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RATIO OF EARNINGS TO FIXED CHARGES AND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RATIO OF EARNINGS TO COMBINED FIXED CHARGES AND PREFERRED STOCK DIVIDENDS</w:t>
      </w:r>
    </w:p>
    <w:p>
      <w:pPr>
        <w:spacing w:after="0" w:line="207"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and ratio of earnings to combined fixed charges and preferred stock dividends for each of the periods indicated. For purposes of calculating the ratios below, earnings consist of income (loss) before income taxes plus fixed charges. Fixed charges consist of interest expense and an estimate of the interest portion of rental expense. The ratios below have been computed on a consolidated basis and should be read in conjunction with the consolidated financial statements and accompanying notes incorporated by reference into this prospectus.</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500" w:type="dxa"/>
            <w:vAlign w:val="bottom"/>
            <w:gridSpan w:val="3"/>
            <w:vMerge w:val="restart"/>
          </w:tcPr>
          <w:p>
            <w:pPr>
              <w:jc w:val="center"/>
              <w:ind w:left="142"/>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12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Pr>
          <w:p>
            <w:pPr>
              <w:spacing w:after="0"/>
              <w:rPr>
                <w:sz w:val="6"/>
                <w:szCs w:val="6"/>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Pr>
          <w:p>
            <w:pPr>
              <w:spacing w:after="0"/>
              <w:rPr>
                <w:sz w:val="6"/>
                <w:szCs w:val="6"/>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Pr>
          <w:p>
            <w:pPr>
              <w:spacing w:after="0"/>
              <w:rPr>
                <w:sz w:val="6"/>
                <w:szCs w:val="6"/>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r>
              <w:rPr>
                <w:rFonts w:ascii="Times New Roman" w:cs="Times New Roman" w:eastAsia="Times New Roman" w:hAnsi="Times New Roman"/>
                <w:sz w:val="15"/>
                <w:szCs w:val="15"/>
                <w:color w:val="auto"/>
              </w:rPr>
              <w:t>(1)</w:t>
            </w:r>
          </w:p>
        </w:tc>
        <w:tc>
          <w:tcPr>
            <w:tcW w:w="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301.2</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N/A</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0"/>
              </w:rPr>
              <w:t>N/A</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N/A</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combined fixed charges and preferred stock dividends</w:t>
            </w:r>
            <w:r>
              <w:rPr>
                <w:rFonts w:ascii="Times New Roman" w:cs="Times New Roman" w:eastAsia="Times New Roman" w:hAnsi="Times New Roman"/>
                <w:sz w:val="15"/>
                <w:szCs w:val="15"/>
                <w:color w:val="auto"/>
              </w:rPr>
              <w:t>(2)</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3"/>
              </w:rPr>
              <w:t>301.2</w:t>
            </w:r>
          </w:p>
        </w:tc>
        <w:tc>
          <w:tcPr>
            <w:tcW w:w="38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0"/>
              </w:rPr>
              <w:t>N/A</w:t>
            </w:r>
          </w:p>
        </w:tc>
        <w:tc>
          <w:tcPr>
            <w:tcW w:w="38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40" w:right="160" w:hanging="436"/>
        <w:spacing w:after="0" w:line="25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losses incurred for the years ended December 31, 2017, 2016, 2015, 2014 and 2013, the ratio coverage for each period was less than 1:1. We would have needed to generate additional earnings of $73.2 million, $63.4 million, $22.8 million, $4.0 million and $5.4 million, respectively, to cover our fixed charges in such periods.</w:t>
      </w:r>
    </w:p>
    <w:p>
      <w:pPr>
        <w:spacing w:after="0" w:line="1" w:lineRule="exact"/>
        <w:rPr>
          <w:rFonts w:ascii="Times New Roman" w:cs="Times New Roman" w:eastAsia="Times New Roman" w:hAnsi="Times New Roman"/>
          <w:sz w:val="18"/>
          <w:szCs w:val="18"/>
          <w:color w:val="auto"/>
        </w:rPr>
      </w:pPr>
    </w:p>
    <w:p>
      <w:pPr>
        <w:ind w:left="640" w:right="160" w:hanging="436"/>
        <w:spacing w:after="0" w:line="255"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losses incurred for the years ended December 31, 2017, 2016, 2015, 2014 and 2013, the ratio coverage for each period was less than 1:1. We would have needed to generate additional earnings of $73.2 million, $63.4 million, $24.6 million, $4.8 million and $5.8 million, respectively, to cover our combined fixed charges and preferred stock dividends in such periods.</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455" w:right="4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Upon the closing of our initial public offering on September 22, 2015, all outstanding shares of our convertible preferred stock converted into shares of common stock. Since that date, we have no shares of preferred stock outstanding and, consequently, our ratio of earnings to combined fixed charges and preferred stock dividends for the six months ended June 30, 2018 and the years ended December 31, 2017 and 2016 is the same as our ratio of earnings to fixed charges for such periods.</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from the sale of the securities offered under this prospectus for general corporate purposes, which may include, but are not limited to, providing financing for clinical trials, capital expenditures, additions to working capital, development of our product candidate pipeline, general and administrative expenses or other corporate obligations. We may use a portion of the net proceeds to pay off outstanding indebtedness, if any, or acquire or invest in businesses, products or technologies. We will set forth in the applicable prospectus supplement our intended use for the net proceeds received from the sale of any securities. Pending the use of such proceeds, we intend to invest the net proceeds in short-term, investment grade, interest-bearing instruments.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by the selling stockholders.</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The following description is a general summary of the terms of the shares of common stock and shares of preferred stock that we may issue. In addition, the selling stockholders may sell up to an aggregate of 5,057,458 shares of our common stock from time to time in one or more offerings. The description below and in any prospectus supplement does not include all of the terms of the shares of common stock or shares of preferred stock and should be read together with our restated certificate of incorporation and amended and restated bylaws, copies of which have been filed previously with the SEC. For more information on how you can obtain copies of our restated certificate of incorporation and amended and restated bylaws, see “Where You Can Find More Information.”</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authorized capital stock consists of 110,000,000 shares, with a par value of $0.0001 per share, of which:</w:t>
      </w:r>
    </w:p>
    <w:p>
      <w:pPr>
        <w:spacing w:after="0" w:line="131" w:lineRule="exact"/>
        <w:rPr>
          <w:sz w:val="20"/>
          <w:szCs w:val="20"/>
          <w:color w:val="auto"/>
        </w:rPr>
      </w:pPr>
    </w:p>
    <w:p>
      <w:pPr>
        <w:ind w:left="860" w:hanging="224"/>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common stock;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are designated as preferred stock.</w:t>
      </w:r>
    </w:p>
    <w:p>
      <w:pPr>
        <w:spacing w:after="0" w:line="225"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As of August 3, 2018, we had outstanding 32,308,644 shares of common stock held of record by five stockholders. No shares of preferred stock were outstanding as of such date.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200" w:right="300" w:firstLine="441"/>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per share on all matters submitted to a vote of stockholders. Notwithstanding the previous sentence, unless otherwise provided by law holders of common stock are not entitled to vote on any amendment to our restated certificate of incorporation that relates solely to the terms of any preferred stock if the holders of such preferred stock are entitled to vote on such amendment.</w:t>
      </w:r>
    </w:p>
    <w:p>
      <w:pPr>
        <w:spacing w:after="0" w:line="176"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We have not provided for cumulative voting in the election of directors.</w:t>
      </w:r>
    </w:p>
    <w:p>
      <w:pPr>
        <w:spacing w:after="0" w:line="158" w:lineRule="exact"/>
        <w:rPr>
          <w:sz w:val="20"/>
          <w:szCs w:val="20"/>
          <w:color w:val="auto"/>
        </w:rPr>
      </w:pPr>
    </w:p>
    <w:p>
      <w:pPr>
        <w:jc w:val="right"/>
        <w:ind w:righ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General Corporation Law of the State of Delaware, or the Delaware General Corporation Law, provides that holders of a class of stock will have the right to vote separately as a class on any proposal involving fundamental changes in the rights of the holders of that class of stock for proposals that adversely affect such holders.</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“RGNX.”</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We may issue shares of preferred stock from time to time in one or more series, the terms of which may be determined at the time of issuance by our board of directors, without further action by our stockholders. Such series of preferred stock may include voting rights, preferences as to dividends and liquidation, conversion rights, redemption rights and sinking fund provisions. The shares of each series of preferred stock will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84" w:lineRule="exact"/>
        <w:rPr>
          <w:sz w:val="20"/>
          <w:szCs w:val="20"/>
          <w:color w:val="auto"/>
        </w:rPr>
      </w:pPr>
    </w:p>
    <w:p>
      <w:pPr>
        <w:ind w:left="200" w:right="340" w:firstLine="441"/>
        <w:spacing w:after="0" w:line="261" w:lineRule="auto"/>
        <w:rPr>
          <w:sz w:val="20"/>
          <w:szCs w:val="20"/>
          <w:color w:val="auto"/>
        </w:rPr>
      </w:pPr>
      <w:r>
        <w:rPr>
          <w:rFonts w:ascii="Times New Roman" w:cs="Times New Roman" w:eastAsia="Times New Roman" w:hAnsi="Times New Roman"/>
          <w:sz w:val="18"/>
          <w:szCs w:val="18"/>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w:t>
      </w:r>
    </w:p>
    <w:p>
      <w:pPr>
        <w:spacing w:after="0" w:line="180"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The terms of any particular series of preferred stock will be described in the prospectus supplement relating to the offering of shares of such series of preferred stock, including, where applicable:</w:t>
      </w:r>
    </w:p>
    <w:p>
      <w:pPr>
        <w:spacing w:after="0" w:line="67" w:lineRule="exact"/>
        <w:rPr>
          <w:sz w:val="20"/>
          <w:szCs w:val="20"/>
          <w:color w:val="auto"/>
        </w:rPr>
      </w:pPr>
    </w:p>
    <w:p>
      <w:pPr>
        <w:ind w:left="860" w:hanging="224"/>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designation, stated value and liquidation preference of such preferred stock;</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30" w:lineRule="exact"/>
        <w:rPr>
          <w:rFonts w:ascii="Times New Roman" w:cs="Times New Roman" w:eastAsia="Times New Roman" w:hAnsi="Times New Roman"/>
          <w:sz w:val="18"/>
          <w:szCs w:val="18"/>
          <w:color w:val="auto"/>
        </w:rPr>
      </w:pPr>
    </w:p>
    <w:p>
      <w:pPr>
        <w:ind w:left="860" w:right="160" w:hanging="224"/>
        <w:spacing w:after="0" w:line="282" w:lineRule="auto"/>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that shares of such series shall be entitled to receive in the event of our liquidation, dissolution or winding-up;</w:t>
      </w:r>
    </w:p>
    <w:p>
      <w:pPr>
        <w:spacing w:after="0" w:line="130" w:lineRule="exact"/>
        <w:rPr>
          <w:rFonts w:ascii="Times New Roman" w:cs="Times New Roman" w:eastAsia="Times New Roman" w:hAnsi="Times New Roman"/>
          <w:sz w:val="18"/>
          <w:szCs w:val="18"/>
          <w:color w:val="auto"/>
        </w:rPr>
      </w:pPr>
    </w:p>
    <w:p>
      <w:pPr>
        <w:ind w:left="860" w:hanging="224"/>
        <w:spacing w:after="0" w:line="282" w:lineRule="auto"/>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on which shares of such series shall be convertible or exchangeable for shares of our stock of any other class or classes, or other series of the same class;</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shares of such series in addition to those set forth under the caption entitled, “Voting Rights” below;</w:t>
      </w:r>
    </w:p>
    <w:p>
      <w:pPr>
        <w:spacing w:after="0" w:line="130" w:lineRule="exact"/>
        <w:rPr>
          <w:rFonts w:ascii="Times New Roman" w:cs="Times New Roman" w:eastAsia="Times New Roman" w:hAnsi="Times New Roman"/>
          <w:sz w:val="18"/>
          <w:szCs w:val="18"/>
          <w:color w:val="auto"/>
        </w:rPr>
      </w:pPr>
    </w:p>
    <w:p>
      <w:pPr>
        <w:ind w:left="860" w:right="200" w:hanging="224"/>
        <w:spacing w:after="0" w:line="282" w:lineRule="auto"/>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as to reissuance or sale of shares of such series redeemed, purchased or otherwise reacquired, or surrendered to us on conversion or exchange;</w:t>
      </w:r>
    </w:p>
    <w:p>
      <w:pPr>
        <w:spacing w:after="0" w:line="67" w:lineRule="exact"/>
        <w:rPr>
          <w:rFonts w:ascii="Times New Roman" w:cs="Times New Roman" w:eastAsia="Times New Roman" w:hAnsi="Times New Roman"/>
          <w:sz w:val="18"/>
          <w:szCs w:val="18"/>
          <w:color w:val="auto"/>
        </w:rPr>
      </w:pPr>
    </w:p>
    <w:p>
      <w:pPr>
        <w:ind w:left="860" w:right="160" w:hanging="224"/>
        <w:spacing w:after="0" w:line="289" w:lineRule="auto"/>
        <w:tabs>
          <w:tab w:leader="none" w:pos="8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24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line="282" w:lineRule="auto"/>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and restrictions, if any, on the creation of indebtedness, or on the issue of any additional stock ranking on a parity with or prior to the shares of such series as to dividends or upon liquidation; and</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of such preferred stock.</w:t>
      </w:r>
    </w:p>
    <w:p>
      <w:pPr>
        <w:spacing w:after="0" w:line="225"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provides that the holders of shares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Effects on Common Stock</w:t>
      </w:r>
    </w:p>
    <w:p>
      <w:pPr>
        <w:spacing w:after="0" w:line="119" w:lineRule="exact"/>
        <w:rPr>
          <w:sz w:val="20"/>
          <w:szCs w:val="20"/>
          <w:color w:val="auto"/>
        </w:rPr>
      </w:pPr>
    </w:p>
    <w:p>
      <w:pPr>
        <w:ind w:left="200" w:right="300" w:firstLine="441"/>
        <w:spacing w:after="0" w:line="266" w:lineRule="auto"/>
        <w:rPr>
          <w:sz w:val="20"/>
          <w:szCs w:val="20"/>
          <w:color w:val="auto"/>
        </w:rPr>
      </w:pPr>
      <w:r>
        <w:rPr>
          <w:rFonts w:ascii="Times New Roman" w:cs="Times New Roman" w:eastAsia="Times New Roman" w:hAnsi="Times New Roman"/>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Restated Certificate of Incorporation and Amended and Restated Bylaws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Delaware law, our restated certificate of incorporation and our amended and restated bylaws contain provisions that could make it more difficult to effect an acquisition of us by means of a tender offer, proxy contest or otherwise, or to remove our incumbent officers and directors. It is possible that these provisions could make it more difficult to accomplish, or could deter, transactions that stockholders otherwise consider to be in our or their best interest, including transactions which provide for payment of a premium over the market price for our shares.</w:t>
      </w:r>
    </w:p>
    <w:p>
      <w:pPr>
        <w:spacing w:after="0" w:line="180"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unsolicited or unfriendly proposal to acquire or restructure us outweigh the disadvantages of discouraging these proposals because negotiation of these proposals could result in an improvement of their terms.</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Delaware Business Combination Statute</w:t>
      </w:r>
    </w:p>
    <w:p>
      <w:pPr>
        <w:spacing w:after="0" w:line="119" w:lineRule="exact"/>
        <w:rPr>
          <w:sz w:val="20"/>
          <w:szCs w:val="20"/>
          <w:color w:val="auto"/>
        </w:rPr>
      </w:pPr>
    </w:p>
    <w:p>
      <w:pPr>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Section 203 prohibits a publicly held Delaware corporation from engaging in a “business combination” with an “interested stockholder” for a period of three years following the time of the transaction in which the person or entity became an interested stockholder, unless:</w:t>
      </w:r>
    </w:p>
    <w:p>
      <w:pPr>
        <w:spacing w:after="0" w:line="82" w:lineRule="exact"/>
        <w:rPr>
          <w:sz w:val="20"/>
          <w:szCs w:val="20"/>
          <w:color w:val="auto"/>
        </w:rPr>
      </w:pPr>
    </w:p>
    <w:p>
      <w:pPr>
        <w:ind w:left="860" w:right="460" w:hanging="224"/>
        <w:spacing w:after="0" w:line="282"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that time, either the business combination or the transaction that resulted in the stockholder becoming an interested stockholder is approved by the board of directors of the corporation;</w:t>
      </w:r>
    </w:p>
    <w:p>
      <w:pPr>
        <w:spacing w:after="0" w:line="67" w:lineRule="exact"/>
        <w:rPr>
          <w:rFonts w:ascii="Times New Roman" w:cs="Times New Roman" w:eastAsia="Times New Roman" w:hAnsi="Times New Roman"/>
          <w:sz w:val="18"/>
          <w:szCs w:val="18"/>
          <w:color w:val="auto"/>
        </w:rPr>
      </w:pPr>
    </w:p>
    <w:p>
      <w:pPr>
        <w:ind w:left="860" w:right="120" w:hanging="224"/>
        <w:spacing w:after="0" w:line="266"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outstanding voting stock of the corporation, excluding for this purpose shares owned by persons who are directors and also officers of the corporation and by specified employee benefit plans; or</w:t>
      </w:r>
    </w:p>
    <w:p>
      <w:pPr>
        <w:spacing w:after="0" w:line="81" w:lineRule="exact"/>
        <w:rPr>
          <w:rFonts w:ascii="Times New Roman" w:cs="Times New Roman" w:eastAsia="Times New Roman" w:hAnsi="Times New Roman"/>
          <w:sz w:val="18"/>
          <w:szCs w:val="18"/>
          <w:color w:val="auto"/>
        </w:rPr>
      </w:pPr>
    </w:p>
    <w:p>
      <w:pPr>
        <w:ind w:left="860" w:right="140" w:hanging="224"/>
        <w:spacing w:after="0" w:line="282"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such time, the business combination is approved by the board of directors of the corporation and by the affirmative vote, and not by written consent, of at least 66 2/3% of the outstanding voting stock that is not owned by the interested stockholder.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purposes of Section 203, a “business combination” is broadly defined to include:</w:t>
      </w:r>
    </w:p>
    <w:p>
      <w:pPr>
        <w:spacing w:after="0" w:line="131" w:lineRule="exact"/>
        <w:rPr>
          <w:sz w:val="20"/>
          <w:szCs w:val="20"/>
          <w:color w:val="auto"/>
        </w:rPr>
      </w:pPr>
    </w:p>
    <w:p>
      <w:pPr>
        <w:ind w:left="860" w:hanging="224"/>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860" w:right="40" w:hanging="224"/>
        <w:spacing w:after="0" w:line="282"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results in the issuance or transfer by the corporation of any stock of the corporation to the interested stockholder, subject to limited exceptions;</w:t>
      </w:r>
    </w:p>
    <w:p>
      <w:pPr>
        <w:spacing w:after="0" w:line="67" w:lineRule="exact"/>
        <w:rPr>
          <w:rFonts w:ascii="Times New Roman" w:cs="Times New Roman" w:eastAsia="Times New Roman" w:hAnsi="Times New Roman"/>
          <w:sz w:val="18"/>
          <w:szCs w:val="18"/>
          <w:color w:val="auto"/>
        </w:rPr>
      </w:pPr>
    </w:p>
    <w:p>
      <w:pPr>
        <w:ind w:left="860" w:right="480" w:hanging="224"/>
        <w:spacing w:after="0" w:line="282"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860" w:right="300" w:hanging="224"/>
        <w:spacing w:after="0" w:line="282"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An “interested stockholder” is a person who, together with affiliates and associates, owns or within the immediately preceding three years did own 15% or more of the corporation’s voting stock.</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119" w:lineRule="exact"/>
        <w:rPr>
          <w:sz w:val="20"/>
          <w:szCs w:val="20"/>
          <w:color w:val="auto"/>
        </w:rPr>
      </w:pPr>
    </w:p>
    <w:p>
      <w:pPr>
        <w:ind w:left="200" w:right="320" w:firstLine="441"/>
        <w:spacing w:after="0" w:line="261"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 existence of authorized but unissued shares of preferred stock may have the effect of deferring hostile takeovers or delaying changes in control or management of our company.</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 Stockholder Meetings</w:t>
      </w:r>
    </w:p>
    <w:p>
      <w:pPr>
        <w:spacing w:after="0" w:line="11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amended and restated bylaws. Our amended and restated bylaws provide that a special meeting of stockholders may be called only by our chairman of the board or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19"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119"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 discourage a third party from making a tender offer or otherwise attempting to obtain control of us, because it generally makes it more difficult for stockholders to replace a majority of the directors.</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Board of Directors Vacancies</w:t>
      </w:r>
    </w:p>
    <w:p>
      <w:pPr>
        <w:spacing w:after="0" w:line="119"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ectPr>
          <w:pgSz w:w="11900" w:h="16838" w:orient="portrait"/>
          <w:cols w:equalWidth="0" w:num="1">
            <w:col w:w="11200"/>
          </w:cols>
          <w:pgMar w:left="240" w:top="455" w:right="459" w:bottom="1440" w:gutter="0" w:footer="0" w:header="0"/>
        </w:sectPr>
      </w:pP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240" w:top="455" w:right="45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p>
    <w:p>
      <w:pPr>
        <w:spacing w:after="0" w:line="119"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Amendment of Charter Provisions</w:t>
      </w:r>
    </w:p>
    <w:p>
      <w:pPr>
        <w:spacing w:after="0" w:line="119"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62"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or is a “foreign action” (as defined in our restated certificate of incorporation),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includes provisions that limit the liability of our directors for monetary damages for breach of their fiduciary duty as directors, except for liability that cannot be eliminated under the Delaware General Corporation Law. Accordingly, our directors will not be personally liable for monetary damages for breach of their fiduciary duty as directors, except for liabilities:</w:t>
      </w:r>
    </w:p>
    <w:p>
      <w:pPr>
        <w:spacing w:after="0" w:line="82" w:lineRule="exact"/>
        <w:rPr>
          <w:sz w:val="20"/>
          <w:szCs w:val="20"/>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860" w:right="380" w:hanging="224"/>
        <w:spacing w:after="0" w:line="282" w:lineRule="auto"/>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unlawful payments of dividends or unlawful stock repurchases or redemptions, as provided under Section 174 of the Delaware General Corporation Law; or</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Any amendment or repeal of these provisions will require the approval of the holders of shares representing at least two-thirds of the shares entitled to vote in the election of directors, voting as one class.</w:t>
      </w:r>
    </w:p>
    <w:p>
      <w:pPr>
        <w:spacing w:after="0" w:line="162"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also provide that we will indemnify our directors and officers to the fullest extent permitted by Delaware law. Our restated certificate of incorporation and amended and restated bylaws also permit us to purchase insurance on behalf of any officer, director, employee or other agent for any liability arising out of his or</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her actions as our officer, director, employee or agent, regardless of whether Delaware law would permit indemnification. We have entered into separate indemnification agreements with our directors, including affiliates of the selling stockholders, and officers that require us, among other things, to indemnify them against certain liabilities that may arise by reason of their status or service as directors and to advance their expenses incurred as a result of any proceeding against them as to which they could be indemnified. We believe that the limitation of liability provision in our restated certificate of incorporation and the indemnification agreements facilitate our ability to continue to attract and retain qualified individuals to serve as directors and officers. 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w:t>
      </w: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76"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0"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A copy of the forms of the warrant agreement and the warrant certificate, if any,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if any, see “Where You Can Find More Information.”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121"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67" w:lineRule="exact"/>
        <w:rPr>
          <w:sz w:val="20"/>
          <w:szCs w:val="20"/>
          <w:color w:val="auto"/>
        </w:rPr>
      </w:pPr>
    </w:p>
    <w:p>
      <w:pPr>
        <w:ind w:left="860" w:hanging="22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shares of common stock or shares of preferred stock that may be purchased upon exercise of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130" w:lineRule="exact"/>
        <w:rPr>
          <w:rFonts w:ascii="Times New Roman" w:cs="Times New Roman" w:eastAsia="Times New Roman" w:hAnsi="Times New Roman"/>
          <w:sz w:val="18"/>
          <w:szCs w:val="18"/>
          <w:color w:val="auto"/>
        </w:rPr>
      </w:pPr>
    </w:p>
    <w:p>
      <w:pPr>
        <w:ind w:left="860" w:right="540" w:hanging="224"/>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30" w:lineRule="exact"/>
        <w:rPr>
          <w:rFonts w:ascii="Times New Roman" w:cs="Times New Roman" w:eastAsia="Times New Roman" w:hAnsi="Times New Roman"/>
          <w:sz w:val="18"/>
          <w:szCs w:val="18"/>
          <w:color w:val="auto"/>
        </w:rPr>
      </w:pPr>
    </w:p>
    <w:p>
      <w:pPr>
        <w:ind w:left="860" w:right="20" w:hanging="224"/>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shares of preferred stock that may be purchased upon exercise of a warrant and the price at which the shares may be purchased upon exercise;</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commence and expire;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24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of the warrant agent;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21"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debt securities will describe the terms of those warrants, including the following:</w:t>
      </w:r>
    </w:p>
    <w:p>
      <w:pPr>
        <w:spacing w:after="0" w:line="67" w:lineRule="exact"/>
        <w:rPr>
          <w:sz w:val="20"/>
          <w:szCs w:val="20"/>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130" w:lineRule="exact"/>
        <w:rPr>
          <w:rFonts w:ascii="Times New Roman" w:cs="Times New Roman" w:eastAsia="Times New Roman" w:hAnsi="Times New Roman"/>
          <w:sz w:val="18"/>
          <w:szCs w:val="18"/>
          <w:color w:val="auto"/>
        </w:rPr>
      </w:pPr>
    </w:p>
    <w:p>
      <w:pPr>
        <w:ind w:left="860" w:hanging="224"/>
        <w:spacing w:after="0" w:line="282" w:lineRule="auto"/>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that the warrants are issued with and the number of warrants issued with each debt security;</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debt securities issued with them will be separately transferable;</w:t>
      </w:r>
    </w:p>
    <w:p>
      <w:pPr>
        <w:spacing w:after="0" w:line="130" w:lineRule="exact"/>
        <w:rPr>
          <w:rFonts w:ascii="Times New Roman" w:cs="Times New Roman" w:eastAsia="Times New Roman" w:hAnsi="Times New Roman"/>
          <w:sz w:val="18"/>
          <w:szCs w:val="18"/>
          <w:color w:val="auto"/>
        </w:rPr>
      </w:pPr>
    </w:p>
    <w:p>
      <w:pPr>
        <w:ind w:left="860" w:right="420" w:hanging="224"/>
        <w:spacing w:after="0" w:line="282" w:lineRule="auto"/>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warrant and the price at which the debt securities may be purchased upon exercise;</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860" w:hanging="224"/>
        <w:spacing w:after="0" w:line="282" w:lineRule="auto"/>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represented by the warrant certificates or debt securities that may be issued upon exercise of the warrants will be issued in registered or bearer form;</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book-entry procedures,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of the warrant agent; and</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24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40"/>
        <w:spacing w:after="0"/>
        <w:tabs>
          <w:tab w:leader="none" w:pos="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any additional terms of the warrants, including terms, procedures and limitations relating to the exchange and exercise of the warrants.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jc w:val="both"/>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Each holder of a warrant will be entitled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80" w:lineRule="exact"/>
        <w:rPr>
          <w:sz w:val="20"/>
          <w:szCs w:val="20"/>
          <w:color w:val="auto"/>
        </w:rPr>
      </w:pPr>
    </w:p>
    <w:p>
      <w:pPr>
        <w:jc w:val="both"/>
        <w:ind w:left="200" w:firstLine="441"/>
        <w:spacing w:after="0" w:line="258" w:lineRule="auto"/>
        <w:rPr>
          <w:sz w:val="20"/>
          <w:szCs w:val="20"/>
          <w:color w:val="auto"/>
        </w:rPr>
      </w:pPr>
      <w:r>
        <w:rPr>
          <w:rFonts w:ascii="Times New Roman" w:cs="Times New Roman" w:eastAsia="Times New Roman" w:hAnsi="Times New Roman"/>
          <w:sz w:val="18"/>
          <w:szCs w:val="18"/>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 including, with respect to equity warrants, any right to vote, consent, receive dividends, or receive notice as stockholders with respect to any meeting of the stockholders for the election of directors or any other matter and with respect to debt warrants, any right to receive payment of principal or premium, if any, or interest on the debt securities purchasable upon exercise.</w:t>
      </w: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We may issue, separately or together with, or upon conversion, exercise or exchange of other securities, debt securities, including debentures, notes or other evidences of indebtedness as set forth in the applicable prospectus supplement. The debt securities will be issued under one or more separate indentures between us and a trustee to be identified in an accompanying prospectus supplement. The following is a general description of the terms of debt securities we may issue from time to time. Particular terms of any debt securities we offer will be described in the prospectus supplement relating to such debt securities.</w:t>
      </w:r>
    </w:p>
    <w:p>
      <w:pPr>
        <w:spacing w:after="0" w:line="184"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any debt securities we may issue or the indenture governing any such debt securities. Particular terms of any debt securities we offer and the applicable indenture will be described in the prospectus supplement relating to such offering, and we urge you to read such description in its entirety, because it, and not this description, will define the rights of holders of such debt securities.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debt securities we may issue, including some or all of the following:</w:t>
      </w:r>
    </w:p>
    <w:p>
      <w:pPr>
        <w:spacing w:after="0" w:line="131" w:lineRule="exact"/>
        <w:rPr>
          <w:sz w:val="20"/>
          <w:szCs w:val="20"/>
          <w:color w:val="auto"/>
        </w:rPr>
      </w:pPr>
    </w:p>
    <w:p>
      <w:pPr>
        <w:ind w:left="860" w:hanging="2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860" w:right="620" w:hanging="224"/>
        <w:spacing w:after="0" w:line="282" w:lineRule="auto"/>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series of debt securities, the denominations in which the offered debt securities will be issued and whether the offering may be reopened for additional securities of that series and on what terms;</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860" w:right="480" w:hanging="224"/>
        <w:spacing w:after="0" w:line="282" w:lineRule="auto"/>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to be guaranteed and, if so, the guarantor or guarantors and the terms of the guarantees;</w:t>
      </w:r>
    </w:p>
    <w:p>
      <w:pPr>
        <w:spacing w:after="0" w:line="130" w:lineRule="exact"/>
        <w:rPr>
          <w:rFonts w:ascii="Times New Roman" w:cs="Times New Roman" w:eastAsia="Times New Roman" w:hAnsi="Times New Roman"/>
          <w:sz w:val="18"/>
          <w:szCs w:val="18"/>
          <w:color w:val="auto"/>
        </w:rPr>
      </w:pPr>
    </w:p>
    <w:p>
      <w:pPr>
        <w:ind w:left="860" w:right="120" w:hanging="224"/>
        <w:spacing w:after="0" w:line="282" w:lineRule="auto"/>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24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transfer, conversion and/or exchange of the debt securities;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definitive or global form or in definitive form only upon satisfaction of certain conditions;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legal defeasance or covenant defeasance;</w:t>
      </w:r>
    </w:p>
    <w:p>
      <w:pPr>
        <w:spacing w:after="0" w:line="130" w:lineRule="exact"/>
        <w:rPr>
          <w:rFonts w:ascii="Times New Roman" w:cs="Times New Roman" w:eastAsia="Times New Roman" w:hAnsi="Times New Roman"/>
          <w:sz w:val="18"/>
          <w:szCs w:val="18"/>
          <w:color w:val="auto"/>
        </w:rPr>
      </w:pPr>
    </w:p>
    <w:p>
      <w:pPr>
        <w:ind w:left="860" w:right="360" w:hanging="224"/>
        <w:spacing w:after="0" w:line="282"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debt securities on any securities exchange;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paying agents, authenticating agents, security registrars or other agents for debt securities, if other than the trustee;</w:t>
      </w:r>
    </w:p>
    <w:p>
      <w:pPr>
        <w:spacing w:after="0" w:line="130" w:lineRule="exact"/>
        <w:rPr>
          <w:rFonts w:ascii="Times New Roman" w:cs="Times New Roman" w:eastAsia="Times New Roman" w:hAnsi="Times New Roman"/>
          <w:sz w:val="18"/>
          <w:szCs w:val="18"/>
          <w:color w:val="auto"/>
        </w:rPr>
      </w:pPr>
    </w:p>
    <w:p>
      <w:pPr>
        <w:ind w:left="860" w:right="460" w:hanging="224"/>
        <w:spacing w:after="0" w:line="282"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 including any provisions regarding the circumstances under which collateral may be released or substituted;</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including those related to original issue discount, if applicable;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the prospectus supplement states otherwise, principal, interest and premium, if any, will be paid by us in immediately available funds.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Any debt securities we issue will be governed by a document called an “indenture,” the form of which is filed as an exhibit to the registration statement of which this prospectus forms a part. An indenture is a contract between us and a financial institution acting as trustee on behalf of the holders of the debt securities, and is subject to and governed by the Trust Indenture Act of 1939.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88"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applicable prospectus supplement, including any debt securities issuable upon conversion or exchange of other offered securities, which we refer to as underlying debt securities, may be issued under the indenture in one or more series.</w:t>
      </w:r>
    </w:p>
    <w:p>
      <w:pPr>
        <w:spacing w:after="0" w:line="176" w:lineRule="exact"/>
        <w:rPr>
          <w:sz w:val="20"/>
          <w:szCs w:val="20"/>
          <w:color w:val="auto"/>
        </w:rPr>
      </w:pPr>
    </w:p>
    <w:p>
      <w:pPr>
        <w:ind w:left="200" w:right="580" w:firstLine="441"/>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62"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indenture also provides that there may be more than one trustee thereunder, each with respect to one or more different series of securities issued thereunder. In the event that there is more than one trustee under the indenture, the powers and trust obligations of each trustee described in this prospectus will extend only to the one or more series of debt securities for which it is trustee. If two or more trustees are acting under an indenture, then the debt securities for which each trustee is acting would be treated as if issued under separate indentures.</w:t>
      </w:r>
    </w:p>
    <w:p>
      <w:pPr>
        <w:spacing w:after="0" w:line="180"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have the ability to issue debt securities with terms different from those of debt securities previously issued and, without the consent of the holders thereof, to reopen a previous issue of a series of debt securities and issue additional debt securities of that series unless the reopening is restricted when that series is created.</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Unless otherwise designated in the applicable prospectus supplement, the trustee will be designated as our paying agent.</w:t>
      </w:r>
    </w:p>
    <w:p>
      <w:pPr>
        <w:spacing w:after="0" w:line="180" w:lineRule="exact"/>
        <w:rPr>
          <w:sz w:val="20"/>
          <w:szCs w:val="20"/>
          <w:color w:val="auto"/>
        </w:rPr>
      </w:pPr>
    </w:p>
    <w:p>
      <w:pPr>
        <w:jc w:val="both"/>
        <w:ind w:left="200" w:right="340" w:firstLine="441"/>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that remain unclaimed for a period of two years after the principal, premium or interest has become due and payable and was deposited with the paying agent will be paid to us, subject to any applicable abandoned property law.</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 Each global security will:</w:t>
      </w:r>
    </w:p>
    <w:p>
      <w:pPr>
        <w:spacing w:after="0" w:line="131" w:lineRule="exact"/>
        <w:rPr>
          <w:sz w:val="20"/>
          <w:szCs w:val="20"/>
          <w:color w:val="auto"/>
        </w:rPr>
      </w:pPr>
    </w:p>
    <w:p>
      <w:pPr>
        <w:ind w:left="860" w:hanging="224"/>
        <w:spacing w:after="0"/>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its nominee, that we will identify in a prospectus supplement;</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trustee as custodian for the depositary;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67" w:lineRule="exact"/>
        <w:rPr>
          <w:sz w:val="20"/>
          <w:szCs w:val="20"/>
          <w:color w:val="auto"/>
        </w:rPr>
      </w:pPr>
    </w:p>
    <w:p>
      <w:pPr>
        <w:ind w:left="860" w:hanging="224"/>
        <w:spacing w:after="0"/>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the debt securities of the applicable series;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described in a prospectus supplement has occurred permitting or requiring the issuance of any such security.</w:t>
      </w:r>
    </w:p>
    <w:p>
      <w:pPr>
        <w:spacing w:after="0" w:line="225" w:lineRule="exact"/>
        <w:rPr>
          <w:sz w:val="20"/>
          <w:szCs w:val="20"/>
          <w:color w:val="auto"/>
        </w:rPr>
      </w:pPr>
    </w:p>
    <w:p>
      <w:pPr>
        <w:jc w:val="both"/>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nominee will be considered the absolute owner of the debt securities represented by the global security for all purposes under the indenture. Participants in the depositary have no rights under the indenture with respect to the global securities held on their behalf by the depositary.</w:t>
      </w:r>
    </w:p>
    <w:p>
      <w:pPr>
        <w:spacing w:after="0" w:line="176"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24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Ownership of beneficial interests in a global security are required to be shown on and effected through the book entry system maintained by the depositary (or its nominee), with respect to participants’ interests, or any participant, with respect to interests of persons held by participants on their behalf.</w:t>
      </w:r>
    </w:p>
    <w:p>
      <w:pPr>
        <w:spacing w:after="0" w:line="176" w:lineRule="exact"/>
        <w:rPr>
          <w:sz w:val="20"/>
          <w:szCs w:val="20"/>
          <w:color w:val="auto"/>
        </w:rPr>
      </w:pPr>
    </w:p>
    <w:p>
      <w:pPr>
        <w:jc w:val="both"/>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security will be subject to policies and procedures of the depositary and must be effected through the depositary’s (or its nominee’s) book entry system. The depositary’s policies and procedures may change from time to time. We and the trustee have no responsibility or liability for the depositary’s or any participant’s records with respect to beneficial interests in a global security.</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debt securities, the following will be events of default for any series of debt securities under the indenture:</w:t>
      </w:r>
    </w:p>
    <w:p>
      <w:pPr>
        <w:spacing w:after="0" w:line="67" w:lineRule="exact"/>
        <w:rPr>
          <w:sz w:val="20"/>
          <w:szCs w:val="20"/>
          <w:color w:val="auto"/>
        </w:rPr>
      </w:pPr>
    </w:p>
    <w:p>
      <w:pPr>
        <w:ind w:left="860" w:hanging="224"/>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with respect to the particular series of debt securities ceases to be of full force and effect;</w:t>
      </w:r>
    </w:p>
    <w:p>
      <w:pPr>
        <w:spacing w:after="0" w:line="130" w:lineRule="exact"/>
        <w:rPr>
          <w:rFonts w:ascii="Times New Roman" w:cs="Times New Roman" w:eastAsia="Times New Roman" w:hAnsi="Times New Roman"/>
          <w:sz w:val="18"/>
          <w:szCs w:val="18"/>
          <w:color w:val="auto"/>
        </w:rPr>
      </w:pPr>
    </w:p>
    <w:p>
      <w:pPr>
        <w:ind w:left="860" w:right="20" w:hanging="224"/>
        <w:spacing w:after="0" w:line="266" w:lineRule="auto"/>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guarantor) remain in breach of a covenant in respect of debt securities of the series for 60 days after we (or the applicable guarantor) receive a written notice of default from the trustee or holders of at least 25% of the aggregate principal amount of debt securities of the series specifying the default and demanding that it be remedied;</w:t>
      </w:r>
    </w:p>
    <w:p>
      <w:pPr>
        <w:spacing w:after="0" w:line="81"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occurs in respect of debt securities of the series described in the prospectus supplement.</w:t>
      </w:r>
    </w:p>
    <w:p>
      <w:pPr>
        <w:spacing w:after="0" w:line="225"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debt securities of any default, except in the payment of principal, premium or interest, if it considers the withholding of notice to be in the best interests of the holders.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9" w:lineRule="exact"/>
        <w:rPr>
          <w:sz w:val="20"/>
          <w:szCs w:val="20"/>
          <w:color w:val="auto"/>
        </w:rPr>
      </w:pPr>
    </w:p>
    <w:p>
      <w:pPr>
        <w:ind w:left="200" w:right="20" w:firstLine="441"/>
        <w:spacing w:after="0" w:line="281" w:lineRule="auto"/>
        <w:rPr>
          <w:sz w:val="20"/>
          <w:szCs w:val="20"/>
          <w:color w:val="auto"/>
        </w:rPr>
      </w:pPr>
      <w:r>
        <w:rPr>
          <w:rFonts w:ascii="Times New Roman" w:cs="Times New Roman" w:eastAsia="Times New Roman" w:hAnsi="Times New Roman"/>
          <w:sz w:val="17"/>
          <w:szCs w:val="17"/>
          <w:color w:val="auto"/>
        </w:rPr>
        <w:t>If an event of default has occurred and has not been cured or waived, the trustee or the holders of not less than 25% in aggregate principal amount of the debt securities of the affected series may declare the unpaid principal, premium, if any, and accrued and unpaid interest of all the debt securities of that series to be due and immediately payable. This is called a declaration of acceleration. A declaration of acceleration may be canceled by the holders of a majority in principal amount of the debt securities of the affected series if the default is cured or waived and certain other conditions are satisfied.</w:t>
      </w:r>
    </w:p>
    <w:p>
      <w:pPr>
        <w:spacing w:after="0" w:line="165"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Except in cases of default, the trustee typically is not required to take any action under an indenture at the request of any holders unless the holders offer the trustee reasonable protection from expenses and liability, or an indemnity. If reasonable indemnity is provided, the holders of a majority in aggregate principal amount of the outstanding debt securities of the relevant series may direct the time, method and place of conducting any lawsuit or other formal legal action seeking any remedy available to the trustee.</w:t>
      </w:r>
    </w:p>
    <w:p>
      <w:pPr>
        <w:spacing w:after="0" w:line="180"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Before a holder is allowed to bring its own lawsuit or other formal legal action or take other steps to enforce its rights or protect its interests relating to any debt securities, the following must occur:</w:t>
      </w:r>
    </w:p>
    <w:p>
      <w:pPr>
        <w:spacing w:after="0" w:line="67" w:lineRule="exact"/>
        <w:rPr>
          <w:sz w:val="20"/>
          <w:szCs w:val="20"/>
          <w:color w:val="auto"/>
        </w:rPr>
      </w:pPr>
    </w:p>
    <w:p>
      <w:pPr>
        <w:ind w:left="860" w:hanging="224"/>
        <w:spacing w:after="0"/>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the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860" w:right="260" w:hanging="224"/>
        <w:spacing w:after="0" w:line="266"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1"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w:t>
      </w:r>
    </w:p>
    <w:p>
      <w:pPr>
        <w:spacing w:after="0" w:line="130" w:lineRule="exact"/>
        <w:rPr>
          <w:rFonts w:ascii="Times New Roman" w:cs="Times New Roman" w:eastAsia="Times New Roman" w:hAnsi="Times New Roman"/>
          <w:sz w:val="18"/>
          <w:szCs w:val="18"/>
          <w:color w:val="auto"/>
        </w:rPr>
      </w:pPr>
    </w:p>
    <w:p>
      <w:pPr>
        <w:ind w:left="860" w:right="220" w:hanging="224"/>
        <w:spacing w:after="0" w:line="282"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debt securities must not have given the trustee a direction inconsistent with the above notice during that 60-day period.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24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9"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relevant series of debt securities may waive a default or event of default for such series of debt securities. If this happens, the default will be treated as if it had not occurred.</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21" w:lineRule="exact"/>
        <w:rPr>
          <w:sz w:val="20"/>
          <w:szCs w:val="20"/>
          <w:color w:val="auto"/>
        </w:rPr>
      </w:pPr>
    </w:p>
    <w:p>
      <w:pPr>
        <w:ind w:left="200" w:right="380" w:firstLine="441"/>
        <w:spacing w:after="0" w:line="313" w:lineRule="auto"/>
        <w:rPr>
          <w:sz w:val="20"/>
          <w:szCs w:val="20"/>
          <w:color w:val="auto"/>
        </w:rPr>
      </w:pPr>
      <w:r>
        <w:rPr>
          <w:rFonts w:ascii="Times New Roman" w:cs="Times New Roman" w:eastAsia="Times New Roman" w:hAnsi="Times New Roman"/>
          <w:sz w:val="17"/>
          <w:szCs w:val="17"/>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44" w:lineRule="exact"/>
        <w:rPr>
          <w:sz w:val="20"/>
          <w:szCs w:val="20"/>
          <w:color w:val="auto"/>
        </w:rPr>
      </w:pPr>
    </w:p>
    <w:p>
      <w:pPr>
        <w:ind w:left="860" w:hanging="224"/>
        <w:spacing w:after="0" w:line="289" w:lineRule="auto"/>
        <w:tabs>
          <w:tab w:leader="none" w:pos="8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the United States, any state of the United States or the District of Columbia, and such company must agree to be legally responsible for our debt securities;</w:t>
      </w:r>
    </w:p>
    <w:p>
      <w:pPr>
        <w:spacing w:after="0" w:line="63" w:lineRule="exact"/>
        <w:rPr>
          <w:rFonts w:ascii="Times New Roman" w:cs="Times New Roman" w:eastAsia="Times New Roman" w:hAnsi="Times New Roman"/>
          <w:sz w:val="17"/>
          <w:szCs w:val="17"/>
          <w:color w:val="auto"/>
        </w:rPr>
      </w:pPr>
    </w:p>
    <w:p>
      <w:pPr>
        <w:ind w:left="860" w:hanging="224"/>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30" w:lineRule="exact"/>
        <w:rPr>
          <w:rFonts w:ascii="Times New Roman" w:cs="Times New Roman" w:eastAsia="Times New Roman" w:hAnsi="Times New Roman"/>
          <w:sz w:val="18"/>
          <w:szCs w:val="18"/>
          <w:color w:val="auto"/>
        </w:rPr>
      </w:pPr>
    </w:p>
    <w:p>
      <w:pPr>
        <w:ind w:left="860" w:right="240" w:hanging="224"/>
        <w:spacing w:after="0" w:line="282"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or event that, after notice or lapse of time or both, would constitute an event of default, will have occurred or be continuing;</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Unless we indicate otherwise in a prospectus supplement, there are three types of changes we may make to an indenture and the debt securities issued thereunder, as described below.</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Changes Requiring Approval of Holders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list of the types of changes that require specific approval of all of the holders of debt securities:</w:t>
      </w:r>
    </w:p>
    <w:p>
      <w:pPr>
        <w:spacing w:after="0" w:line="131" w:lineRule="exact"/>
        <w:rPr>
          <w:sz w:val="20"/>
          <w:szCs w:val="20"/>
          <w:color w:val="auto"/>
        </w:rPr>
      </w:pPr>
    </w:p>
    <w:p>
      <w:pPr>
        <w:ind w:left="860" w:hanging="224"/>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debt securities of any series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the time for payment of interest on any debt security;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the rate of interest or any premium payable upon the redemption of any debt security;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payment office where any payment on a debt security is payable;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any debt security is payable;</w:t>
      </w:r>
    </w:p>
    <w:p>
      <w:pPr>
        <w:spacing w:after="0" w:line="130" w:lineRule="exact"/>
        <w:rPr>
          <w:rFonts w:ascii="Times New Roman" w:cs="Times New Roman" w:eastAsia="Times New Roman" w:hAnsi="Times New Roman"/>
          <w:sz w:val="18"/>
          <w:szCs w:val="18"/>
          <w:color w:val="auto"/>
        </w:rPr>
      </w:pPr>
    </w:p>
    <w:p>
      <w:pPr>
        <w:ind w:left="860" w:right="260" w:hanging="224"/>
        <w:spacing w:after="0" w:line="282" w:lineRule="auto"/>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bring suit to enforce payment of principal, premium, if any, or interest on or after the maturity of a debt security or, in the case of redemption, on or after the redemption date;</w:t>
      </w:r>
    </w:p>
    <w:p>
      <w:pPr>
        <w:spacing w:after="0" w:line="67" w:lineRule="exact"/>
        <w:rPr>
          <w:rFonts w:ascii="Times New Roman" w:cs="Times New Roman" w:eastAsia="Times New Roman" w:hAnsi="Times New Roman"/>
          <w:sz w:val="18"/>
          <w:szCs w:val="18"/>
          <w:color w:val="auto"/>
        </w:rPr>
      </w:pPr>
    </w:p>
    <w:p>
      <w:pPr>
        <w:ind w:left="860" w:hanging="224"/>
        <w:spacing w:after="0" w:line="266" w:lineRule="auto"/>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percentage of holders of debt securities whose consent is needed to supplement the indenture or amend a series of debt securities, waive compliance with certain covenants or waive defaults or events of default, other than to increase such percentage or to provide that certain other provisions of the indenture cannot be modified except with the consent of all affected holders;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24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right="140" w:hanging="224"/>
        <w:spacing w:after="0" w:line="266" w:lineRule="auto"/>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manner adverse to the interests of the holders the terms and conditions of the obligations of any guarantors in respect of the due and punctual payment of the principal thereof, premium, if any, and interest thereon, or any additional amounts or any sinking fund or analogous payments; and</w:t>
      </w:r>
    </w:p>
    <w:p>
      <w:pPr>
        <w:spacing w:after="0" w:line="81" w:lineRule="exact"/>
        <w:rPr>
          <w:rFonts w:ascii="Times New Roman" w:cs="Times New Roman" w:eastAsia="Times New Roman" w:hAnsi="Times New Roman"/>
          <w:sz w:val="18"/>
          <w:szCs w:val="18"/>
          <w:color w:val="auto"/>
        </w:rPr>
      </w:pPr>
    </w:p>
    <w:p>
      <w:pPr>
        <w:ind w:left="860" w:right="180" w:hanging="224"/>
        <w:spacing w:after="0" w:line="282" w:lineRule="auto"/>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rights of holders with respect to any series of debt securities that are exchangeable or convertible to receive payment or delivery of any consideration due upon the conversion or exchange.</w:t>
      </w:r>
    </w:p>
    <w:p>
      <w:pPr>
        <w:spacing w:after="0" w:line="162"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all of the series of debt securities affected by a certain action, voting together as one class for this purpose, may amend or supplement the indenture or waive our compliance obligations with respect to some of our covenants in that indenture. However, we cannot obtain a waiver of a payment default or of any of the matters covered by the bullet points included above.</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Clarifications and certain other changes that would not adversely affect holders of the outstanding debt securities in any material respect, including the addition of covenants and guarantees, do not require any vote by the holders of outstanding debt securities. We also do not need to obtain any approval from holders to make any change that affects only debt securities to be issued under the indenture after the change takes effect or any changes that are required to comply with the requirements of the SEC or the Trust Indenture Act of 1939.</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9"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When taking a vote on proposed changes to the indenture and the debt securities, each holder will be entitled to one vote for each $1,000 in principal amount of the securities of such series.</w:t>
      </w:r>
    </w:p>
    <w:p>
      <w:pPr>
        <w:spacing w:after="0" w:line="162"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Debt securities will not be eligible to vote if they have been fully defeased as described under “Description of Debt Securities—Defeasance— Legal Defeasance.”</w:t>
      </w:r>
    </w:p>
    <w:p>
      <w:pPr>
        <w:spacing w:after="0" w:line="162"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We generally will be entitled to set any day as a record date for the purpose of determining the holders of outstanding debt securities that are entitled to vote or take other action under the indenture. Any record date must not be more than 90 calendar days nor less than 20 calendar days prior to the proposed date of such vote or action. If we set a record date for a vote or other action to be taken by holders of one or more series, that vote or action may be taken only by persons who are holders of outstanding debt securities of those series on the record date and must be taken within 11 months following the record date.</w:t>
      </w:r>
    </w:p>
    <w:p>
      <w:pPr>
        <w:spacing w:after="0" w:line="184"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In order to achieve covenant defeasance, we must do the following:</w:t>
      </w:r>
    </w:p>
    <w:p>
      <w:pPr>
        <w:spacing w:after="0" w:line="86" w:lineRule="exact"/>
        <w:rPr>
          <w:sz w:val="20"/>
          <w:szCs w:val="20"/>
          <w:color w:val="auto"/>
        </w:rPr>
      </w:pPr>
    </w:p>
    <w:p>
      <w:pPr>
        <w:ind w:left="860" w:right="140" w:hanging="224"/>
        <w:spacing w:after="0" w:line="266" w:lineRule="auto"/>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such debt securities money, non-callable U.S. government securities, or a combination thereof that will generate enough cash to pay and discharge the principal, premium, if any, and interest on the debt securities on their various due dates;</w:t>
      </w:r>
    </w:p>
    <w:p>
      <w:pPr>
        <w:spacing w:after="0" w:line="81" w:lineRule="exact"/>
        <w:rPr>
          <w:rFonts w:ascii="Times New Roman" w:cs="Times New Roman" w:eastAsia="Times New Roman" w:hAnsi="Times New Roman"/>
          <w:sz w:val="18"/>
          <w:szCs w:val="18"/>
          <w:color w:val="auto"/>
        </w:rPr>
      </w:pPr>
    </w:p>
    <w:p>
      <w:pPr>
        <w:ind w:left="860" w:right="180" w:hanging="224"/>
        <w:spacing w:after="0" w:line="266" w:lineRule="auto"/>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the holders to be taxed on the debt securities any differently than if we did not make the deposit and repaid the debt securities ourselves at maturity; and</w:t>
      </w:r>
    </w:p>
    <w:p>
      <w:pPr>
        <w:spacing w:after="0" w:line="81" w:lineRule="exact"/>
        <w:rPr>
          <w:rFonts w:ascii="Times New Roman" w:cs="Times New Roman" w:eastAsia="Times New Roman" w:hAnsi="Times New Roman"/>
          <w:sz w:val="18"/>
          <w:szCs w:val="18"/>
          <w:color w:val="auto"/>
        </w:rPr>
      </w:pPr>
    </w:p>
    <w:p>
      <w:pPr>
        <w:jc w:val="center"/>
        <w:ind w:left="5620" w:right="380" w:hanging="4984"/>
        <w:spacing w:after="0" w:line="454" w:lineRule="auto"/>
        <w:tabs>
          <w:tab w:leader="none" w:pos="8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certain documentation stating that all conditions precedent to covenant defeasance have been complied with. 18</w:t>
      </w:r>
    </w:p>
    <w:p>
      <w:pPr>
        <w:sectPr>
          <w:pgSz w:w="11900" w:h="16838" w:orient="portrait"/>
          <w:cols w:equalWidth="0" w:num="1">
            <w:col w:w="11220"/>
          </w:cols>
          <w:pgMar w:left="24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occurs (such as our bankruptcy) and the debt securities become immediately due and payable, there might be a shortfall. Depending on the event causing the default, holders may not be able to obtain payment of the shortfall.</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Legal Defeasance</w:t>
      </w:r>
    </w:p>
    <w:p>
      <w:pPr>
        <w:spacing w:after="0" w:line="119"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We can make the deposit described below and be legally released from all payment and other obligations on the debt securities of a particular series, which we refer to as “legal defeasance.” In that event, we and any guarantor shall have been deemed to have been discharged from obligations with respect to such debt securities and related guarantees, respectively. In order to achieve legal defeasance, we must do the following:</w:t>
      </w:r>
    </w:p>
    <w:p>
      <w:pPr>
        <w:spacing w:after="0" w:line="82" w:lineRule="exact"/>
        <w:rPr>
          <w:sz w:val="20"/>
          <w:szCs w:val="20"/>
          <w:color w:val="auto"/>
        </w:rPr>
      </w:pPr>
    </w:p>
    <w:p>
      <w:pPr>
        <w:ind w:left="860" w:right="60" w:hanging="224"/>
        <w:spacing w:after="0" w:line="266" w:lineRule="auto"/>
        <w:tabs>
          <w:tab w:leader="none" w:pos="8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such debt securities money, non-callable U.S. government securities, or a combination thereof that will generate enough cash to pay and discharge the principal, premium, if any, and interest on the debt securities on their various due dates;</w:t>
      </w:r>
    </w:p>
    <w:p>
      <w:pPr>
        <w:spacing w:after="0" w:line="81" w:lineRule="exact"/>
        <w:rPr>
          <w:rFonts w:ascii="Times New Roman" w:cs="Times New Roman" w:eastAsia="Times New Roman" w:hAnsi="Times New Roman"/>
          <w:sz w:val="18"/>
          <w:szCs w:val="18"/>
          <w:color w:val="auto"/>
        </w:rPr>
      </w:pPr>
    </w:p>
    <w:p>
      <w:pPr>
        <w:ind w:left="860" w:hanging="224"/>
        <w:spacing w:after="0" w:line="266" w:lineRule="auto"/>
        <w:tabs>
          <w:tab w:leader="none" w:pos="8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repaid the debt securities ourselves at maturity; and</w:t>
      </w:r>
    </w:p>
    <w:p>
      <w:pPr>
        <w:spacing w:after="0" w:line="81" w:lineRule="exact"/>
        <w:rPr>
          <w:rFonts w:ascii="Times New Roman" w:cs="Times New Roman" w:eastAsia="Times New Roman" w:hAnsi="Times New Roman"/>
          <w:sz w:val="18"/>
          <w:szCs w:val="18"/>
          <w:color w:val="auto"/>
        </w:rPr>
      </w:pPr>
    </w:p>
    <w:p>
      <w:pPr>
        <w:ind w:left="860" w:right="540" w:hanging="224"/>
        <w:spacing w:after="0" w:line="282" w:lineRule="auto"/>
        <w:tabs>
          <w:tab w:leader="none" w:pos="8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legal defeasance have been complied with.</w:t>
      </w:r>
    </w:p>
    <w:p>
      <w:pPr>
        <w:spacing w:after="0" w:line="162" w:lineRule="exact"/>
        <w:rPr>
          <w:sz w:val="20"/>
          <w:szCs w:val="20"/>
          <w:color w:val="auto"/>
        </w:rPr>
      </w:pPr>
    </w:p>
    <w:p>
      <w:pPr>
        <w:jc w:val="both"/>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If we accomplish legal defeasance,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debt securities provided that a successor trustee is appointed to act with respect to such series. In the event that two or more persons are acting as trustee with respect to different series of debt securities, each of the trustees will be a trustee of a trust separate and apart from the trust administered by any other trustee.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intend to name the indenture trustee for each series of debt securities in the related prospectus supplement.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left="200" w:right="420" w:firstLine="441"/>
        <w:spacing w:after="0" w:line="26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described in the applicable prospectus supplement.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240" w:top="455" w:right="51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200" w:right="200" w:firstLine="441"/>
        <w:spacing w:after="0" w:line="256" w:lineRule="auto"/>
        <w:rPr>
          <w:sz w:val="20"/>
          <w:szCs w:val="20"/>
          <w:color w:val="auto"/>
        </w:rPr>
      </w:pPr>
      <w:r>
        <w:rPr>
          <w:rFonts w:ascii="Times New Roman" w:cs="Times New Roman" w:eastAsia="Times New Roman" w:hAnsi="Times New Roman"/>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rights we may issue, including some or all of the following:</w:t>
      </w:r>
    </w:p>
    <w:p>
      <w:pPr>
        <w:spacing w:after="0" w:line="131" w:lineRule="exact"/>
        <w:rPr>
          <w:sz w:val="20"/>
          <w:szCs w:val="20"/>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the rights;</w:t>
      </w:r>
    </w:p>
    <w:p>
      <w:pPr>
        <w:spacing w:after="0" w:line="130" w:lineRule="exact"/>
        <w:rPr>
          <w:rFonts w:ascii="Times New Roman" w:cs="Times New Roman" w:eastAsia="Times New Roman" w:hAnsi="Times New Roman"/>
          <w:sz w:val="18"/>
          <w:szCs w:val="18"/>
          <w:color w:val="auto"/>
        </w:rPr>
      </w:pPr>
    </w:p>
    <w:p>
      <w:pPr>
        <w:ind w:left="860" w:right="400" w:hanging="224"/>
        <w:spacing w:after="0" w:line="282" w:lineRule="auto"/>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or a formula for the determination of the subscription price for the rights and the currency or currencies in which the subscription price may be payable;</w:t>
      </w:r>
    </w:p>
    <w:p>
      <w:pPr>
        <w:spacing w:after="0" w:line="67" w:lineRule="exact"/>
        <w:rPr>
          <w:rFonts w:ascii="Times New Roman" w:cs="Times New Roman" w:eastAsia="Times New Roman" w:hAnsi="Times New Roman"/>
          <w:sz w:val="18"/>
          <w:szCs w:val="18"/>
          <w:color w:val="auto"/>
        </w:rPr>
      </w:pPr>
    </w:p>
    <w:p>
      <w:pPr>
        <w:ind w:left="860" w:right="600" w:hanging="224"/>
        <w:spacing w:after="0" w:line="282" w:lineRule="auto"/>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rights are issued and the number of rights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the rights issued to each stockholder;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debt securities, the principal amount of debt securities purchasable upon exercise of one right;</w:t>
      </w:r>
    </w:p>
    <w:p>
      <w:pPr>
        <w:spacing w:after="0" w:line="130" w:lineRule="exact"/>
        <w:rPr>
          <w:rFonts w:ascii="Times New Roman" w:cs="Times New Roman" w:eastAsia="Times New Roman" w:hAnsi="Times New Roman"/>
          <w:sz w:val="18"/>
          <w:szCs w:val="18"/>
          <w:color w:val="auto"/>
        </w:rPr>
      </w:pPr>
    </w:p>
    <w:p>
      <w:pPr>
        <w:ind w:left="860" w:right="40" w:hanging="224"/>
        <w:spacing w:after="0" w:line="282" w:lineRule="auto"/>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common stock or preferred stock, the type of stock and number of shares of stock purchasable upon exercise of one right;</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(subject to any extension);</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rights that may be exercised at any one time;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860" w:right="260" w:hanging="224"/>
        <w:spacing w:after="0" w:line="266" w:lineRule="auto"/>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1"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the rights of any merger, consolidation, sale or other disposition of our business;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rights;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rights;</w:t>
      </w:r>
    </w:p>
    <w:p>
      <w:pPr>
        <w:spacing w:after="0" w:line="130" w:lineRule="exact"/>
        <w:rPr>
          <w:rFonts w:ascii="Times New Roman" w:cs="Times New Roman" w:eastAsia="Times New Roman" w:hAnsi="Times New Roman"/>
          <w:sz w:val="18"/>
          <w:szCs w:val="18"/>
          <w:color w:val="auto"/>
        </w:rPr>
      </w:pPr>
    </w:p>
    <w:p>
      <w:pPr>
        <w:ind w:left="860" w:hanging="224"/>
        <w:spacing w:after="0" w:line="282" w:lineRule="auto"/>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backstop or other purchase arrangement that we may enter into in connection with the rights offering;</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exchange and exercise of the rights.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4"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80"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76"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6"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88"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860" w:right="100" w:hanging="224"/>
        <w:spacing w:after="0" w:line="282" w:lineRule="auto"/>
        <w:tabs>
          <w:tab w:leader="none" w:pos="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identity of each of the selling stockholders, the number of shares of our common stock and the percentage of shares of our common stock beneficially owned by each of the selling stockholders prior to this offering, the number of shares that may be offered under this prospectus by each of the selling stockholders, and the number of shares of our common stock and the percentage of our common stock to be beneficially owned by each of the selling stockholders after the completion of this offering, assuming that all shares offered hereunder are sold as contemplated herein. The number of shares in the column “Maximum number of shares that may be offered” represents all of the shares that each of the selling stockholders may offer under this prospectus.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24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The information is not necessarily indicative of beneficial ownership for any other purpose. In general, under these rules a beneficial owner of a security includes any person who, directly or indirectly, through any contract, arrangement, understanding, relationship or otherwise has or shares voting power or investment power with respect to such security. A person is also deemed to be a beneficial owner of a security if that person has the right to acquire beneficial ownership of such security within 60 days. To our knowledge, except as otherwise indicated, and subject to applicable community property laws, the persons named in the table have sole voting and investment power with respect to all shares of common stock beneficially owned by that person.</w:t>
      </w:r>
    </w:p>
    <w:p>
      <w:pPr>
        <w:spacing w:after="0" w:line="188"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For purposes of the table below, the beneficial ownership amounts and percentages are based on a total of 32,308,644 shares of our common stock outstanding as of August 3, 2018. Shares of our common stock that a person has the right to acquire within 60 days of the date of this prospectus are deemed outstanding for purposes of computing the percentage ownership of such person’s holdings, but are not deemed outstanding for purposes of computing the percentage ownership of any other person.</w:t>
      </w:r>
    </w:p>
    <w:p>
      <w:pPr>
        <w:spacing w:after="0" w:line="180"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We do not know when or in what amounts the selling stockholders may sell or otherwise dispose of the shares covered hereby. The selling stockholders might not sell any or all of the shares covered by this prospectus or may sell or dispose of some or all of their shares in transactions exempt from the registration requirements of the Securities Act, or in the open market after the date on which they provided the information set forth in the table below. Because the selling stockholders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stockholders after completion of a potential offering. For purposes of the table below, we have assumed that the selling stockholders will have sold all of the shares covered by this prospectus upon completion of the applicable offering.</w:t>
      </w:r>
    </w:p>
    <w:p>
      <w:pPr>
        <w:spacing w:after="0" w:line="189"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Information about additional selling stockholders, if any, including their identities and the common stock to be registered on their behalf, may be set forth in a prospectus supplement, in a post-effective amendment or in filings that we make with the SEC under the Exchange Act, which are incorporated by reference in this prospectus. Information concerning the selling stockholders may change from time to time. Any changes to the information provided below will be set forth in a supplement to this prospectus, in a post-effective amendment or in filings we make with the SEC under the Exchange Act, which are incorporated by reference into this prospectus, if and when necessary. The address of each beneficial owner listed in the table below is 1701 Pennsylvania Ave., NW, Suite 900, Washington, DC 20006.</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420" w:type="dxa"/>
            <w:vAlign w:val="bottom"/>
            <w:gridSpan w:val="4"/>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7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400" w:type="dxa"/>
            <w:vAlign w:val="bottom"/>
          </w:tcPr>
          <w:p>
            <w:pPr>
              <w:spacing w:after="0"/>
              <w:rPr>
                <w:sz w:val="10"/>
                <w:szCs w:val="10"/>
                <w:color w:val="auto"/>
              </w:rPr>
            </w:pPr>
          </w:p>
        </w:tc>
        <w:tc>
          <w:tcPr>
            <w:tcW w:w="18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78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2420" w:type="dxa"/>
            <w:vAlign w:val="bottom"/>
            <w:gridSpan w:val="4"/>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7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gridSpan w:val="4"/>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78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400" w:type="dxa"/>
            <w:vAlign w:val="bottom"/>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180" w:type="dxa"/>
            <w:vAlign w:val="bottom"/>
            <w:gridSpan w:val="2"/>
            <w:vMerge w:val="restart"/>
          </w:tcPr>
          <w:p>
            <w:pPr>
              <w:jc w:val="center"/>
              <w:ind w:left="602"/>
              <w:spacing w:after="0" w:line="153"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gridSpan w:val="2"/>
            <w:vMerge w:val="restart"/>
          </w:tcPr>
          <w:p>
            <w:pPr>
              <w:jc w:val="center"/>
              <w:ind w:right="430"/>
              <w:spacing w:after="0" w:line="153"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160"/>
              <w:spacing w:after="0" w:line="119" w:lineRule="exact"/>
              <w:rPr>
                <w:sz w:val="20"/>
                <w:szCs w:val="20"/>
                <w:color w:val="auto"/>
              </w:rPr>
            </w:pPr>
            <w:r>
              <w:rPr>
                <w:rFonts w:ascii="Times New Roman" w:cs="Times New Roman" w:eastAsia="Times New Roman" w:hAnsi="Times New Roman"/>
                <w:sz w:val="13"/>
                <w:szCs w:val="13"/>
                <w:b w:val="1"/>
                <w:bCs w:val="1"/>
                <w:color w:val="auto"/>
              </w:rPr>
              <w:t>may be</w:t>
            </w:r>
          </w:p>
        </w:tc>
        <w:tc>
          <w:tcPr>
            <w:tcW w:w="4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540" w:type="dxa"/>
            <w:vAlign w:val="bottom"/>
          </w:tcPr>
          <w:p>
            <w:pPr>
              <w:spacing w:after="0"/>
              <w:rPr>
                <w:sz w:val="15"/>
                <w:szCs w:val="15"/>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Allan M. Fox</w:t>
            </w:r>
            <w:r>
              <w:rPr>
                <w:rFonts w:ascii="Times New Roman" w:cs="Times New Roman" w:eastAsia="Times New Roman" w:hAnsi="Times New Roman"/>
                <w:sz w:val="15"/>
                <w:szCs w:val="15"/>
                <w:color w:val="auto"/>
              </w:rPr>
              <w:t>(1)</w:t>
            </w:r>
          </w:p>
        </w:tc>
        <w:tc>
          <w:tcPr>
            <w:tcW w:w="7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3,043,568</w:t>
            </w:r>
          </w:p>
        </w:tc>
        <w:tc>
          <w:tcPr>
            <w:tcW w:w="40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9.42%</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3,043,568</w:t>
            </w:r>
          </w:p>
        </w:tc>
        <w:tc>
          <w:tcPr>
            <w:tcW w:w="4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John Daniel Kiser</w:t>
            </w:r>
            <w:r>
              <w:rPr>
                <w:rFonts w:ascii="Times New Roman" w:cs="Times New Roman" w:eastAsia="Times New Roman" w:hAnsi="Times New Roman"/>
                <w:sz w:val="15"/>
                <w:szCs w:val="15"/>
                <w:color w:val="auto"/>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2,013,890</w:t>
            </w:r>
          </w:p>
        </w:tc>
        <w:tc>
          <w:tcPr>
            <w:tcW w:w="40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6.23%</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2,013,890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2" w:lineRule="exact"/>
        <w:rPr>
          <w:sz w:val="20"/>
          <w:szCs w:val="20"/>
          <w:color w:val="auto"/>
        </w:rPr>
      </w:pPr>
    </w:p>
    <w:p>
      <w:pPr>
        <w:ind w:left="640" w:right="120" w:hanging="436"/>
        <w:spacing w:after="0" w:line="254"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include The Allan M. Fox Trust (U/A/D April 21, 2015) (the Fox Trust), The Allan M. Fox Revocable Trust (the Fox Revocable Trust) and MAPES. Mr. Kiser is the trustee of the Fox Trust and holds sole investment power over such trust. Mr. Fox holds sole investment power over the shares held by the Fox Revocable Trust and the shares held by MAPES. Mr. Fox is a member of our board of directors and Mr. Kiser is a former member of our board of directors. The amount reflected does not include 948,157 shares held by the Kiser Gift Trust, for which Mr. Fox serves as co-trustee as described in footnote (2).</w:t>
      </w:r>
    </w:p>
    <w:p>
      <w:pPr>
        <w:spacing w:after="0" w:line="3" w:lineRule="exact"/>
        <w:rPr>
          <w:rFonts w:ascii="Times New Roman" w:cs="Times New Roman" w:eastAsia="Times New Roman" w:hAnsi="Times New Roman"/>
          <w:sz w:val="18"/>
          <w:szCs w:val="18"/>
          <w:color w:val="auto"/>
        </w:rPr>
      </w:pPr>
    </w:p>
    <w:p>
      <w:pPr>
        <w:ind w:left="640" w:right="180" w:hanging="436"/>
        <w:spacing w:after="0" w:line="253"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include The Kiser 2012 Gift Trust (the Kiser Gift Trust), The John Daniel Kiser Revocable Trust U/A/D July 27, 2011 (the Kiser Revocable Trust) and The Kiser 2018 Grantor Retained Annuity Trust (the Kiser Retained Annuity Trust). Mr. Fox is co-trustee of the Kiser Gift Trust and holds shared investment power over such trust. Mr. Kiser holds sole investment power over the shares held by the Kiser Revocable Trust. Ellen G. Kiser, the wife of Mr. Kiser, holds sole investment power over the shares held by the Kiser Retained Annuity Trust. The amount reflected does not include 722,485 shares held by the Fox Trust, for which Mr. Kiser serves as trustee as described in footnote (1).</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From time to time, we or the selling stockholders may sell the securities offered by this prospectus in any one or more of the following ways:</w:t>
      </w:r>
    </w:p>
    <w:p>
      <w:pPr>
        <w:spacing w:after="0" w:line="131" w:lineRule="exact"/>
        <w:rPr>
          <w:sz w:val="20"/>
          <w:szCs w:val="20"/>
          <w:color w:val="auto"/>
        </w:rPr>
      </w:pPr>
    </w:p>
    <w:p>
      <w:pPr>
        <w:ind w:left="640"/>
        <w:spacing w:after="0"/>
        <w:tabs>
          <w:tab w:leader="none" w:pos="840" w:val="left"/>
        </w:tabs>
        <w:rPr>
          <w:sz w:val="20"/>
          <w:szCs w:val="20"/>
          <w:color w:val="auto"/>
        </w:rPr>
      </w:pPr>
      <w:r>
        <w:rPr>
          <w:rFonts w:ascii="Times New Roman" w:cs="Times New Roman" w:eastAsia="Times New Roman" w:hAnsi="Times New Roman"/>
          <w:sz w:val="18"/>
          <w:szCs w:val="18"/>
          <w:color w:val="auto"/>
        </w:rPr>
        <w:t>•</w:t>
        <w:tab/>
        <w:t>to or through one or more underwriters, dealers or agents;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240" w:top="455" w:right="4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or long transactions;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 transactions relating to our common stock;</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agents or other purchasers;</w:t>
      </w:r>
    </w:p>
    <w:p>
      <w:pPr>
        <w:spacing w:after="0" w:line="130" w:lineRule="exact"/>
        <w:rPr>
          <w:rFonts w:ascii="Times New Roman" w:cs="Times New Roman" w:eastAsia="Times New Roman" w:hAnsi="Times New Roman"/>
          <w:sz w:val="18"/>
          <w:szCs w:val="18"/>
          <w:color w:val="auto"/>
        </w:rPr>
      </w:pPr>
    </w:p>
    <w:p>
      <w:pPr>
        <w:ind w:left="860" w:hanging="224"/>
        <w:spacing w:after="0" w:line="282" w:lineRule="auto"/>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a combination of any such methods of sale;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described in the applicable prospectus supplement.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securities may be distributed from time to time in one or more transactions at:</w:t>
      </w:r>
    </w:p>
    <w:p>
      <w:pPr>
        <w:spacing w:after="0" w:line="131" w:lineRule="exact"/>
        <w:rPr>
          <w:sz w:val="20"/>
          <w:szCs w:val="20"/>
          <w:color w:val="auto"/>
        </w:rPr>
      </w:pPr>
    </w:p>
    <w:p>
      <w:pPr>
        <w:ind w:left="860" w:hanging="224"/>
        <w:spacing w:after="0"/>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method of distribution and the terms and conditions of the offering of such securities, including:</w:t>
      </w:r>
    </w:p>
    <w:p>
      <w:pPr>
        <w:spacing w:after="0" w:line="67" w:lineRule="exact"/>
        <w:rPr>
          <w:sz w:val="20"/>
          <w:szCs w:val="20"/>
          <w:color w:val="auto"/>
        </w:rPr>
      </w:pPr>
    </w:p>
    <w:p>
      <w:pPr>
        <w:ind w:left="860" w:hanging="22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from the sale;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the underwriters may purchase additional shares of common stock from us;</w:t>
      </w:r>
    </w:p>
    <w:p>
      <w:pPr>
        <w:spacing w:after="0" w:line="130" w:lineRule="exact"/>
        <w:rPr>
          <w:rFonts w:ascii="Times New Roman" w:cs="Times New Roman" w:eastAsia="Times New Roman" w:hAnsi="Times New Roman"/>
          <w:sz w:val="18"/>
          <w:szCs w:val="18"/>
          <w:color w:val="auto"/>
        </w:rPr>
      </w:pPr>
    </w:p>
    <w:p>
      <w:pPr>
        <w:ind w:left="860" w:right="280" w:hanging="224"/>
        <w:spacing w:after="0" w:line="282"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concessions, commissions or agency fees and other items constituting compensation to underwriters, dealers or agents;</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by underwriters or dealers to other dealers;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offering expenses;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We may issue to our existing security holders, through a dividend or similar distribution, rights to purchase shares of our common stock or preferred stock, debt securities or units, which may or may not be transferable. In any distribution of rights to our existing security 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The applicable prospectus supplement will describe the specific terms of any offering of our common stock or preferred stock through the issuance of rights, including, if applicable, the material terms of any standby underwriting or purchase arrangement.</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80"/>
          </w:cols>
          <w:pgMar w:left="240" w:top="455" w:right="4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If we or the selling stockholders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or their representatives at the time an agreement for sale is reached. Unless we inform you otherwise in the applicable prospectus supplement, the obligations of the underwriters to purchase the securities will be subject to certain conditions. The underwriters may change from time to time any public offering price and any discounts or concessions allowed or reallowed or paid to dealers.</w:t>
      </w:r>
    </w:p>
    <w:p>
      <w:pPr>
        <w:spacing w:after="0" w:line="185"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88"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0"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If dealers are used for the sale of securities, we or the selling stockholders,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76"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underwriters as defined in the applicable securities laws and any discounts or commissions they receive from us or the selling stockholders and any profit on their resale of the securities may be treated as underwriting discounts and commissions under the applicable securities laws. We will identify in the applicable prospectus supplement any underwriters, dealers or agents and will describe their compensation. We or the selling stockholders may have agreements with the underwriters, dealers and agents to indemnify them against specified civil liabilities, including liabilities under the applicable securities laws.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or the selling stockholders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or the selling stockholders may sell the securities directly in transactions not involving underwriters, dealers or agents.</w:t>
      </w:r>
    </w:p>
    <w:p>
      <w:pPr>
        <w:spacing w:after="0" w:line="225"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We or the selling stockholders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underwriters, dealers or agents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all preferred stock, debt securities, warrants, rights and units will be new issues of securities with no established trading market. Unless indicated in the applicable prospectus supplement, we do not expect to list the offered securities on a securities exchange, except for our common stock, which is listed on The Nasdaq Global Select Market. Any underwriters that we use in the sale of offered securities may make a market in such securities, but may discontinue such market making at any time without notice. Therefore, we cannot assure you that the securities will have a liquid trading market.</w:t>
      </w:r>
    </w:p>
    <w:p>
      <w:pPr>
        <w:sectPr>
          <w:pgSz w:w="11900" w:h="16838" w:orient="portrait"/>
          <w:cols w:equalWidth="0" w:num="1">
            <w:col w:w="11220"/>
          </w:cols>
          <w:pgMar w:left="240" w:top="455" w:right="439" w:bottom="1440" w:gutter="0" w:footer="0" w:header="0"/>
        </w:sectPr>
      </w:pP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240" w:top="455" w:right="4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of Regulation M under the Exchange Act. Stabilizing transactions involve bids to purchase the underlying security in the open market for the purpose of preventing or retarding a decline in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stabilizing or syndicate covering transaction to cover syndicate short positions.</w:t>
      </w:r>
    </w:p>
    <w:p>
      <w:pPr>
        <w:spacing w:after="0" w:line="188"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Stabilizing transactions, syndicate covering transactions and penalty bids may have the effect of raising or maintaining the market price of our securities or preventing or retarding a decline in the price of our securities. As a result, the price of the securities in the open market may be higher than it would otherwise be in the absence of these transactions. The underwriters may, if they commence these transactions, discontinue them at any time.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Hedging</w:t>
      </w:r>
    </w:p>
    <w:p>
      <w:pPr>
        <w:spacing w:after="0" w:line="12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We or the selling stockholders may enter into hedging transactions with broker-dealers and the broker-dealers may engage in short sales of the securities in the course of hedging the positions they assume with us or the selling stockholders, including, without limitation, in connection with distributions of the securities by those broker-dealers. We or the selling stockholders may enter into option or other transactions with broker-dealers that involve the delivery of the securities offered hereby to the broker-dealers, who may then resell or otherwise transfer those securities. We or the selling stockholders may also loan or pledge the securities offered hereby to a broker-dealer and the broker-dealer may sell the securities offered hereby so loaned or upon a default may sell or otherwise transfer the pledged securities offered hereby.</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Electronic Auctions</w:t>
      </w:r>
    </w:p>
    <w:p>
      <w:pPr>
        <w:spacing w:after="0" w:line="121" w:lineRule="exact"/>
        <w:rPr>
          <w:sz w:val="20"/>
          <w:szCs w:val="20"/>
          <w:color w:val="auto"/>
        </w:rPr>
      </w:pPr>
    </w:p>
    <w:p>
      <w:pPr>
        <w:jc w:val="both"/>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We may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carefully review the description of that system, which we will provide in a prospectus supplement.</w:t>
      </w:r>
    </w:p>
    <w:p>
      <w:pPr>
        <w:spacing w:after="0" w:line="180" w:lineRule="exact"/>
        <w:rPr>
          <w:sz w:val="20"/>
          <w:szCs w:val="20"/>
          <w:color w:val="auto"/>
        </w:rPr>
      </w:pPr>
    </w:p>
    <w:p>
      <w:pPr>
        <w:ind w:left="200" w:right="80" w:firstLine="441"/>
        <w:spacing w:after="0" w:line="277" w:lineRule="auto"/>
        <w:rPr>
          <w:sz w:val="20"/>
          <w:szCs w:val="20"/>
          <w:color w:val="auto"/>
        </w:rPr>
      </w:pPr>
      <w:r>
        <w:rPr>
          <w:rFonts w:ascii="Times New Roman" w:cs="Times New Roman" w:eastAsia="Times New Roman" w:hAnsi="Times New Roman"/>
          <w:sz w:val="17"/>
          <w:szCs w:val="17"/>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w:t>
      </w:r>
    </w:p>
    <w:p>
      <w:pPr>
        <w:spacing w:after="0" w:line="168"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Underwriters, dealers and agents may engage in transactions with or perform services for us in the ordinary course of their businesses for which they may receive customary fees and reimbursement of expenses. We or the selling stockholders may have a material relationship with the underwriters, dealers or agents. We will describe the nature of such relationship in the applicable prospectus supplement.</w:t>
      </w:r>
    </w:p>
    <w:p>
      <w:pPr>
        <w:spacing w:after="0" w:line="176"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 The specific terms of any lock-up provisions in respect of any given offering will be described in the applicable prospectus supplement.</w:t>
      </w:r>
    </w:p>
    <w:p>
      <w:pPr>
        <w:spacing w:after="0" w:line="176"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entered into with us, to be indemnified by us against certain liabilities, including liabilities under the Securities Act. Our underwriters, dealers and agents, or their affiliates, may be customers of, engage in transactions with or perform services for us, in the ordinary course of business.</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24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Covington &amp; Burling LLP, Washington, D.C.</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Counsel for any underwriters, dealers or agents will be named in the applicable prospectus supplement.</w:t>
      </w: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240" w:top="455" w:right="5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225425</wp:posOffset>
            </wp:positionV>
            <wp:extent cx="699770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285115</wp:posOffset>
            </wp:positionV>
            <wp:extent cx="6997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9"/>
          <w:szCs w:val="29"/>
          <w:b w:val="1"/>
          <w:bCs w:val="1"/>
          <w:color w:val="auto"/>
        </w:rPr>
        <w:t>2,700,000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344170</wp:posOffset>
            </wp:positionV>
            <wp:extent cx="6080125" cy="1071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8012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REGENXBIO Inc.</w:t>
      </w:r>
    </w:p>
    <w:p>
      <w:pPr>
        <w:spacing w:after="0" w:line="200" w:lineRule="exact"/>
        <w:rPr>
          <w:sz w:val="20"/>
          <w:szCs w:val="20"/>
          <w:color w:val="auto"/>
        </w:rPr>
      </w:pPr>
    </w:p>
    <w:p>
      <w:pPr>
        <w:spacing w:after="0" w:line="24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410210</wp:posOffset>
            </wp:positionV>
            <wp:extent cx="14662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245110</wp:posOffset>
            </wp:positionV>
            <wp:extent cx="14662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99"/>
        <w:spacing w:after="0"/>
        <w:tabs>
          <w:tab w:leader="none" w:pos="5180" w:val="left"/>
          <w:tab w:leader="none" w:pos="900" w:val="left"/>
        </w:tabs>
        <w:rPr>
          <w:sz w:val="20"/>
          <w:szCs w:val="20"/>
          <w:color w:val="auto"/>
        </w:rPr>
      </w:pPr>
      <w:r>
        <w:rPr>
          <w:rFonts w:ascii="Times New Roman" w:cs="Times New Roman" w:eastAsia="Times New Roman" w:hAnsi="Times New Roman"/>
          <w:sz w:val="25"/>
          <w:szCs w:val="25"/>
          <w:b w:val="1"/>
          <w:bCs w:val="1"/>
          <w:color w:val="auto"/>
        </w:rPr>
        <w:t>Morgan Stanley</w:t>
      </w:r>
      <w:r>
        <w:rPr>
          <w:sz w:val="20"/>
          <w:szCs w:val="20"/>
          <w:color w:val="auto"/>
        </w:rPr>
        <w:tab/>
      </w:r>
      <w:r>
        <w:rPr>
          <w:rFonts w:ascii="Times New Roman" w:cs="Times New Roman" w:eastAsia="Times New Roman" w:hAnsi="Times New Roman"/>
          <w:sz w:val="25"/>
          <w:szCs w:val="25"/>
          <w:b w:val="1"/>
          <w:bCs w:val="1"/>
          <w:color w:val="auto"/>
        </w:rPr>
        <w:t>BofA Merrill Lynch</w:t>
      </w:r>
      <w:r>
        <w:rPr>
          <w:sz w:val="20"/>
          <w:szCs w:val="20"/>
          <w:color w:val="auto"/>
        </w:rPr>
        <w:tab/>
      </w:r>
      <w:r>
        <w:rPr>
          <w:rFonts w:ascii="Times New Roman" w:cs="Times New Roman" w:eastAsia="Times New Roman" w:hAnsi="Times New Roman"/>
          <w:sz w:val="24"/>
          <w:szCs w:val="24"/>
          <w:b w:val="1"/>
          <w:bCs w:val="1"/>
          <w:color w:val="auto"/>
        </w:rPr>
        <w:t>Barclays</w:t>
      </w:r>
    </w:p>
    <w:p>
      <w:pPr>
        <w:spacing w:after="0" w:line="11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Raymond James</w:t>
      </w:r>
    </w:p>
    <w:p>
      <w:pPr>
        <w:spacing w:after="0" w:line="200" w:lineRule="exact"/>
        <w:rPr>
          <w:sz w:val="20"/>
          <w:szCs w:val="20"/>
          <w:color w:val="auto"/>
        </w:rPr>
      </w:pPr>
    </w:p>
    <w:p>
      <w:pPr>
        <w:spacing w:after="0" w:line="2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August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457200</wp:posOffset>
            </wp:positionV>
            <wp:extent cx="6997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483235</wp:posOffset>
            </wp:positionV>
            <wp:extent cx="699770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lowerRoman"/>
      <w:start w:val="7"/>
    </w:lvl>
  </w:abstractNum>
  <w:abstractNum w:abstractNumId="9">
    <w:nsid w:val="614FD4A1"/>
    <w:multiLevelType w:val="hybridMultilevel"/>
    <w:lvl w:ilvl="0">
      <w:lvlJc w:val="left"/>
      <w:lvlText w:val="(%1)"/>
      <w:numFmt w:val="lowerRoman"/>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lowerLetter"/>
      <w:start w:val="2"/>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240"/>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2019-12-08T08:23:25Z</dcterms:created>
  <dcterms:modified xsi:type="dcterms:W3CDTF">2019-12-08T08:23:25Z</dcterms:modified>
</cp:coreProperties>
</file>