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Ciongoli Gregory Austin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REGENXBIO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9804 MEDICAL CENTER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REGENXBIO Inc.</w:t>
              </w:r>
            </w:hyperlink>
            <w:r>
              <w:rPr/>
              <w:t xml:space="preserve"> [ </w:t>
            </w:r>
            <w:r>
              <w:rPr>
                <w:rFonts w:ascii="Times;serif" w:hAnsi="Times;serif"/>
                <w:color w:val="0000FF"/>
                <w:sz w:val="24"/>
                <w:shd w:fill="FFFFFF" w:val="clear"/>
              </w:rPr>
              <w:t>RGNX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63"/>
        <w:gridCol w:w="443"/>
        <w:gridCol w:w="880"/>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15,432</w:t>
            </w:r>
            <w:r>
              <w:rPr>
                <w:rFonts w:ascii="Times;serif" w:hAnsi="Times;serif"/>
                <w:color w:val="008000"/>
                <w:position w:val="7"/>
                <w:sz w:val="16"/>
                <w:sz w:val="20"/>
                <w:shd w:fill="FFFFFF" w:val="clear"/>
              </w:rPr>
              <w:t>(1)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15,432</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49,196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9.1411</w:t>
            </w:r>
            <w:r>
              <w:rPr>
                <w:rFonts w:ascii="Times;serif" w:hAnsi="Times;serif"/>
                <w:color w:val="008000"/>
                <w:position w:val="7"/>
                <w:sz w:val="16"/>
                <w:sz w:val="20"/>
                <w:shd w:fill="FFFFFF" w:val="clear"/>
              </w:rPr>
              <w:t>(2)</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64,628</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53,407</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9.356</w:t>
            </w:r>
            <w:r>
              <w:rPr>
                <w:rFonts w:ascii="Times;serif" w:hAnsi="Times;serif"/>
                <w:color w:val="008000"/>
                <w:position w:val="7"/>
                <w:sz w:val="16"/>
                <w:sz w:val="20"/>
                <w:shd w:fill="FFFFFF" w:val="clear"/>
              </w:rPr>
              <w:t>(3)</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118,035</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69,609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08/25/2027</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69,609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69,609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underlying a time-based restricted stock unit award (RSU). 1/3rd of the shares subject to the RSU award shall vest on each of August 25, 2027, August 25, 2028 and August 25, 2029, while the recipient provides continuous service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purchased in an open-market transaction. The price reported in Column 4 is a weighted average price. This transaction was executed in multiple trades at prices ranging from $8.67 to $9.35.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purchased in an open-market transaction. The price reported in Column 4 is a weighted average price. This transaction was executed in multiple trades at prices ranging from $9.17 to $9.4525.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will vest over a three year period, with 1/3rd of the option vesting on August 25, 2027 and the remaining portion of the option vesting in equal monthly installments over the 24 months thereafter, while the optionee provides continuous service to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Patrick J. Christmas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3732" TargetMode="External"/><Relationship Id="rId5" Type="http://schemas.openxmlformats.org/officeDocument/2006/relationships/hyperlink" Target="http://www.sec.gov/cgi-bin/browse-edgar?action=getcompany&amp;CIK=00015908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4472</Characters>
  <CharactersWithSpaces>5206</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