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149860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180340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183515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204470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198755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8"/>
          <w:szCs w:val="38"/>
          <w:b w:val="1"/>
          <w:bCs w:val="1"/>
          <w:color w:val="auto"/>
        </w:rPr>
        <w:t>REGENXBIO Inc.</w:t>
      </w:r>
    </w:p>
    <w:p>
      <w:pPr>
        <w:spacing w:after="0" w:line="5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187325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927" w:type="dxa"/>
        <w:tblCellMar>
          <w:top w:w="0" w:type="dxa"/>
          <w:left w:w="0" w:type="dxa"/>
          <w:bottom w:w="0" w:type="dxa"/>
          <w:right w:w="0" w:type="dxa"/>
        </w:tblCellMar>
      </w:tblPr>
      <w:tr>
        <w:trPr>
          <w:trHeight w:val="189"/>
        </w:trPr>
        <w:tc>
          <w:tcPr>
            <w:tcW w:w="3540" w:type="dxa"/>
            <w:vAlign w:val="bottom"/>
          </w:tcPr>
          <w:p>
            <w:pPr>
              <w:jc w:val="center"/>
              <w:ind w:right="20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001-37553</w:t>
            </w: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47-1851754</w:t>
            </w:r>
          </w:p>
        </w:tc>
      </w:tr>
      <w:tr>
        <w:trPr>
          <w:trHeight w:val="132"/>
        </w:trPr>
        <w:tc>
          <w:tcPr>
            <w:tcW w:w="3540" w:type="dxa"/>
            <w:vAlign w:val="bottom"/>
          </w:tcPr>
          <w:p>
            <w:pPr>
              <w:jc w:val="center"/>
              <w:ind w:right="2008"/>
              <w:spacing w:after="0" w:line="133" w:lineRule="exact"/>
              <w:rPr>
                <w:sz w:val="20"/>
                <w:szCs w:val="20"/>
                <w:color w:val="auto"/>
              </w:rPr>
            </w:pPr>
            <w:r>
              <w:rPr>
                <w:rFonts w:ascii="Times New Roman" w:cs="Times New Roman" w:eastAsia="Times New Roman" w:hAnsi="Times New Roman"/>
                <w:sz w:val="13"/>
                <w:szCs w:val="13"/>
                <w:b w:val="1"/>
                <w:bCs w:val="1"/>
                <w:color w:val="auto"/>
                <w:w w:val="98"/>
              </w:rPr>
              <w:t>(State or other jurisdiction</w:t>
            </w:r>
          </w:p>
        </w:tc>
        <w:tc>
          <w:tcPr>
            <w:tcW w:w="206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200" w:type="dxa"/>
            <w:vAlign w:val="bottom"/>
          </w:tcPr>
          <w:p>
            <w:pPr>
              <w:jc w:val="center"/>
              <w:ind w:left="1130"/>
              <w:spacing w:after="0" w:line="133"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8"/>
        </w:trPr>
        <w:tc>
          <w:tcPr>
            <w:tcW w:w="3540" w:type="dxa"/>
            <w:vAlign w:val="bottom"/>
          </w:tcPr>
          <w:p>
            <w:pPr>
              <w:jc w:val="center"/>
              <w:ind w:right="2008"/>
              <w:spacing w:after="0"/>
              <w:rPr>
                <w:sz w:val="20"/>
                <w:szCs w:val="20"/>
                <w:color w:val="auto"/>
              </w:rPr>
            </w:pPr>
            <w:r>
              <w:rPr>
                <w:rFonts w:ascii="Times New Roman" w:cs="Times New Roman" w:eastAsia="Times New Roman" w:hAnsi="Times New Roman"/>
                <w:sz w:val="13"/>
                <w:szCs w:val="13"/>
                <w:b w:val="1"/>
                <w:bCs w:val="1"/>
                <w:color w:val="auto"/>
                <w:w w:val="98"/>
              </w:rPr>
              <w:t>of incorporation)</w:t>
            </w:r>
          </w:p>
        </w:tc>
        <w:tc>
          <w:tcPr>
            <w:tcW w:w="20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00" w:type="dxa"/>
            <w:vAlign w:val="bottom"/>
          </w:tcPr>
          <w:p>
            <w:pPr>
              <w:jc w:val="center"/>
              <w:ind w:left="113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52"/>
        </w:trPr>
        <w:tc>
          <w:tcPr>
            <w:tcW w:w="3540" w:type="dxa"/>
            <w:vAlign w:val="bottom"/>
          </w:tcPr>
          <w:p>
            <w:pPr>
              <w:jc w:val="center"/>
              <w:ind w:left="1088"/>
              <w:spacing w:after="0"/>
              <w:rPr>
                <w:sz w:val="20"/>
                <w:szCs w:val="20"/>
                <w:color w:val="auto"/>
              </w:rPr>
            </w:pPr>
            <w:r>
              <w:rPr>
                <w:rFonts w:ascii="Times New Roman" w:cs="Times New Roman" w:eastAsia="Times New Roman" w:hAnsi="Times New Roman"/>
                <w:sz w:val="16"/>
                <w:szCs w:val="16"/>
                <w:b w:val="1"/>
                <w:bCs w:val="1"/>
                <w:color w:val="auto"/>
              </w:rPr>
              <w:t>9600 Blackwell Road, Suite 210</w:t>
            </w:r>
          </w:p>
        </w:tc>
        <w:tc>
          <w:tcPr>
            <w:tcW w:w="20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9"/>
        </w:trPr>
        <w:tc>
          <w:tcPr>
            <w:tcW w:w="3540" w:type="dxa"/>
            <w:vAlign w:val="bottom"/>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w w:val="99"/>
              </w:rPr>
              <w:t>Rockville, Maryland</w:t>
            </w:r>
          </w:p>
        </w:tc>
        <w:tc>
          <w:tcPr>
            <w:tcW w:w="2060" w:type="dxa"/>
            <w:vAlign w:val="bottom"/>
          </w:tcPr>
          <w:p>
            <w:pPr>
              <w:spacing w:after="0"/>
              <w:rPr>
                <w:sz w:val="16"/>
                <w:szCs w:val="16"/>
                <w:color w:val="auto"/>
              </w:rPr>
            </w:pPr>
          </w:p>
        </w:tc>
        <w:tc>
          <w:tcPr>
            <w:tcW w:w="22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20850</w:t>
            </w:r>
          </w:p>
        </w:tc>
      </w:tr>
      <w:tr>
        <w:trPr>
          <w:trHeight w:val="168"/>
        </w:trPr>
        <w:tc>
          <w:tcPr>
            <w:tcW w:w="3540" w:type="dxa"/>
            <w:vAlign w:val="bottom"/>
          </w:tcPr>
          <w:p>
            <w:pPr>
              <w:jc w:val="center"/>
              <w:ind w:left="1108"/>
              <w:spacing w:after="0"/>
              <w:rPr>
                <w:sz w:val="20"/>
                <w:szCs w:val="20"/>
                <w:color w:val="auto"/>
              </w:rPr>
            </w:pPr>
            <w:r>
              <w:rPr>
                <w:rFonts w:ascii="Times New Roman" w:cs="Times New Roman" w:eastAsia="Times New Roman" w:hAnsi="Times New Roman"/>
                <w:sz w:val="13"/>
                <w:szCs w:val="13"/>
                <w:b w:val="1"/>
                <w:bCs w:val="1"/>
                <w:color w:val="auto"/>
                <w:w w:val="98"/>
              </w:rPr>
              <w:t>(Address of principal executive offices)</w:t>
            </w:r>
          </w:p>
        </w:tc>
        <w:tc>
          <w:tcPr>
            <w:tcW w:w="2060" w:type="dxa"/>
            <w:vAlign w:val="bottom"/>
          </w:tcPr>
          <w:p>
            <w:pPr>
              <w:spacing w:after="0"/>
              <w:rPr>
                <w:sz w:val="14"/>
                <w:szCs w:val="14"/>
                <w:color w:val="auto"/>
              </w:rPr>
            </w:pPr>
          </w:p>
        </w:tc>
        <w:tc>
          <w:tcPr>
            <w:tcW w:w="2200" w:type="dxa"/>
            <w:vAlign w:val="bottom"/>
          </w:tcPr>
          <w:p>
            <w:pPr>
              <w:jc w:val="center"/>
              <w:ind w:left="1150"/>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6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(240) 552-8181</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6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175895</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7" w:right="420"/>
        <w:spacing w:after="0" w:line="282"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48"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8" w:lineRule="exact"/>
        <w:rPr>
          <w:sz w:val="24"/>
          <w:szCs w:val="24"/>
          <w:color w:val="auto"/>
        </w:rPr>
      </w:pPr>
    </w:p>
    <w:tbl>
      <w:tblPr>
        <w:tblLayout w:type="fixed"/>
        <w:tblInd w:w="7" w:type="dxa"/>
        <w:tblCellMar>
          <w:top w:w="0" w:type="dxa"/>
          <w:left w:w="0" w:type="dxa"/>
          <w:bottom w:w="0" w:type="dxa"/>
          <w:right w:w="0" w:type="dxa"/>
        </w:tblCellMar>
      </w:tblPr>
      <w:tr>
        <w:trPr>
          <w:trHeight w:val="149"/>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60" w:type="dxa"/>
            <w:vAlign w:val="bottom"/>
          </w:tcPr>
          <w:p>
            <w:pPr>
              <w:spacing w:after="0"/>
              <w:rPr>
                <w:sz w:val="12"/>
                <w:szCs w:val="12"/>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Ticker</w:t>
            </w:r>
          </w:p>
        </w:tc>
        <w:tc>
          <w:tcPr>
            <w:tcW w:w="100" w:type="dxa"/>
            <w:vAlign w:val="bottom"/>
          </w:tcPr>
          <w:p>
            <w:pPr>
              <w:spacing w:after="0"/>
              <w:rPr>
                <w:sz w:val="12"/>
                <w:szCs w:val="1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w:t>
            </w:r>
          </w:p>
        </w:tc>
        <w:tc>
          <w:tcPr>
            <w:tcW w:w="0" w:type="dxa"/>
            <w:vAlign w:val="bottom"/>
          </w:tcPr>
          <w:p>
            <w:pPr>
              <w:spacing w:after="0"/>
              <w:rPr>
                <w:sz w:val="1"/>
                <w:szCs w:val="1"/>
                <w:color w:val="auto"/>
              </w:rPr>
            </w:pPr>
          </w:p>
        </w:tc>
      </w:tr>
      <w:tr>
        <w:trPr>
          <w:trHeight w:val="154"/>
        </w:trPr>
        <w:tc>
          <w:tcPr>
            <w:tcW w:w="33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3"/>
        </w:trPr>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$0.0001 par value per share</w:t>
            </w:r>
          </w:p>
        </w:tc>
        <w:tc>
          <w:tcPr>
            <w:tcW w:w="6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RGNX</w:t>
            </w:r>
          </w:p>
        </w:tc>
        <w:tc>
          <w:tcPr>
            <w:tcW w:w="10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Global Select Market</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7" w:right="260"/>
        <w:spacing w:after="0" w:line="28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387"/>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ind w:left="7" w:right="140" w:firstLine="392"/>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224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807"/>
          </w:cols>
          <w:pgMar w:left="1053" w:top="313" w:right="10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5080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6" w:lineRule="exact"/>
        <w:rPr>
          <w:sz w:val="20"/>
          <w:szCs w:val="20"/>
          <w:color w:val="auto"/>
        </w:rPr>
      </w:pPr>
    </w:p>
    <w:p>
      <w:pPr>
        <w:ind w:right="220" w:firstLine="392"/>
        <w:spacing w:after="0" w:line="258" w:lineRule="auto"/>
        <w:rPr>
          <w:sz w:val="20"/>
          <w:szCs w:val="20"/>
          <w:color w:val="auto"/>
        </w:rPr>
      </w:pPr>
      <w:r>
        <w:rPr>
          <w:rFonts w:ascii="Times New Roman" w:cs="Times New Roman" w:eastAsia="Times New Roman" w:hAnsi="Times New Roman"/>
          <w:sz w:val="16"/>
          <w:szCs w:val="16"/>
          <w:color w:val="auto"/>
        </w:rPr>
        <w:t>On October 11, 2019, Jeffrey S. Heier, M.D., Co-President and Director of Retina Research at Ophthalmic Consultants of Boston and primary investigator for REGENXBIO Inc.’s (the “Company”) ongoing Phase I/IIa clinical trial of RGX-314 for the treatment of wet age-related macular degeneration (the “Wet AMD Trial”), presented interim results from the Wet AMD Trial at the American Academy of Ophthalmology 2019 Annual Meeting. A copy of Dr. Heier’s presentation materials, including supplemental information, is furnished as Exhibit 99.1 to this Current Report on Form 8-K and is incorporated by reference herein.</w:t>
      </w:r>
    </w:p>
    <w:p>
      <w:pPr>
        <w:spacing w:after="0" w:line="164"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25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06"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On October 11, 2019, the Company issued a press release announcing interim results from its Wet AMD Trial. A copy of the press release is filed as Exhibit 99.2 to this Current Report on Form 8-K and is incorporated by reference herein.</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464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3"/>
              </w:rPr>
              <w:t>No.</w:t>
            </w:r>
          </w:p>
        </w:tc>
        <w:tc>
          <w:tcPr>
            <w:tcW w:w="34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21"/>
                <w:szCs w:val="21"/>
                <w:color w:val="auto"/>
              </w:rPr>
            </w:pPr>
          </w:p>
        </w:tc>
        <w:tc>
          <w:tcPr>
            <w:tcW w:w="5280" w:type="dxa"/>
            <w:vAlign w:val="bottom"/>
            <w:gridSpan w:val="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Presentation materials and supplemental information dated October 11, 2019.</w:t>
              </w:r>
            </w:hyperlink>
          </w:p>
        </w:tc>
        <w:tc>
          <w:tcPr>
            <w:tcW w:w="0" w:type="dxa"/>
            <w:vAlign w:val="bottom"/>
          </w:tcPr>
          <w:p>
            <w:pPr>
              <w:spacing w:after="0"/>
              <w:rPr>
                <w:sz w:val="1"/>
                <w:szCs w:val="1"/>
                <w:color w:val="auto"/>
              </w:rPr>
            </w:pPr>
          </w:p>
        </w:tc>
      </w:tr>
      <w:tr>
        <w:trPr>
          <w:trHeight w:val="268"/>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23"/>
                <w:szCs w:val="23"/>
                <w:color w:val="auto"/>
              </w:rPr>
            </w:pPr>
          </w:p>
        </w:tc>
        <w:tc>
          <w:tcPr>
            <w:tcW w:w="4960" w:type="dxa"/>
            <w:vAlign w:val="bottom"/>
            <w:tcBorders>
              <w:top w:val="single" w:sz="8" w:color="0000EE"/>
            </w:tcBorders>
            <w:gridSpan w:val="3"/>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Press release dated October 11, 2019.</w:t>
              </w:r>
            </w:hyperlink>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Pr>
          <w:p>
            <w:pPr>
              <w:spacing w:after="0"/>
              <w:rPr>
                <w:sz w:val="24"/>
                <w:szCs w:val="24"/>
                <w:color w:val="auto"/>
              </w:rPr>
            </w:pPr>
          </w:p>
        </w:tc>
        <w:tc>
          <w:tcPr>
            <w:tcW w:w="52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The cover page from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9700"/>
          </w:cols>
          <w:pgMar w:left="1060" w:top="277" w:right="11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50800"/>
                    </a:xfrm>
                    <a:prstGeom prst="rect">
                      <a:avLst/>
                    </a:prstGeom>
                    <a:noFill/>
                  </pic:spPr>
                </pic:pic>
              </a:graphicData>
            </a:graphic>
          </wp:anchor>
        </w:drawing>
        <w:t>SIGNATURES</w:t>
      </w:r>
    </w:p>
    <w:p>
      <w:pPr>
        <w:spacing w:after="0" w:line="20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REGENXBIO INC.</w:t>
      </w:r>
    </w:p>
    <w:p>
      <w:pPr>
        <w:spacing w:after="0" w:line="202" w:lineRule="exact"/>
        <w:rPr>
          <w:sz w:val="20"/>
          <w:szCs w:val="20"/>
          <w:color w:val="auto"/>
        </w:rPr>
      </w:pPr>
    </w:p>
    <w:p>
      <w:pPr>
        <w:spacing w:after="0"/>
        <w:tabs>
          <w:tab w:leader="none" w:pos="4660" w:val="left"/>
          <w:tab w:leader="none" w:pos="5180" w:val="left"/>
        </w:tabs>
        <w:rPr>
          <w:sz w:val="20"/>
          <w:szCs w:val="20"/>
          <w:color w:val="auto"/>
        </w:rPr>
      </w:pPr>
      <w:r>
        <w:rPr>
          <w:rFonts w:ascii="Times New Roman" w:cs="Times New Roman" w:eastAsia="Times New Roman" w:hAnsi="Times New Roman"/>
          <w:sz w:val="16"/>
          <w:szCs w:val="16"/>
          <w:color w:val="auto"/>
        </w:rPr>
        <w:t>Date: October 11, 2019</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15875</wp:posOffset>
            </wp:positionV>
            <wp:extent cx="29216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1635" cy="7620"/>
                    </a:xfrm>
                    <a:prstGeom prst="rect">
                      <a:avLst/>
                    </a:prstGeom>
                    <a:noFill/>
                  </pic:spPr>
                </pic:pic>
              </a:graphicData>
            </a:graphic>
          </wp:anchor>
        </w:drawing>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Patrick J. Christmas II</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Senior Vice President, General Counsel</w:t>
      </w:r>
    </w:p>
    <w:p>
      <w:pPr>
        <w:sectPr>
          <w:pgSz w:w="11900" w:h="16838" w:orient="portrait"/>
          <w:cols w:equalWidth="0" w:num="1">
            <w:col w:w="9520"/>
          </w:cols>
          <w:pgMar w:left="1060" w:top="277" w:right="1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1609725" cy="281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09725" cy="28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line="285" w:lineRule="auto"/>
        <w:rPr>
          <w:sz w:val="20"/>
          <w:szCs w:val="20"/>
          <w:color w:val="auto"/>
        </w:rPr>
      </w:pPr>
      <w:r>
        <w:rPr>
          <w:rFonts w:ascii="Times New Roman" w:cs="Times New Roman" w:eastAsia="Times New Roman" w:hAnsi="Times New Roman"/>
          <w:sz w:val="16"/>
          <w:szCs w:val="16"/>
          <w:b w:val="1"/>
          <w:bCs w:val="1"/>
          <w:color w:val="auto"/>
        </w:rPr>
        <w:t>REGENXBIO Announces Additional Positive Interim Phase I/IIa Trial Update for RGX-314 for the Treatment of Wet AMD at the American Academy of Ophthalmology 2019 Annual Meeting</w:t>
      </w:r>
    </w:p>
    <w:p>
      <w:pPr>
        <w:spacing w:after="0" w:line="56" w:lineRule="exact"/>
        <w:rPr>
          <w:sz w:val="20"/>
          <w:szCs w:val="20"/>
          <w:color w:val="auto"/>
        </w:rPr>
      </w:pPr>
    </w:p>
    <w:p>
      <w:pPr>
        <w:ind w:left="860" w:hanging="387"/>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RGX-314 continues to be well-tolerated</w:t>
      </w:r>
    </w:p>
    <w:p>
      <w:pPr>
        <w:spacing w:after="0" w:line="116" w:lineRule="exact"/>
        <w:rPr>
          <w:rFonts w:ascii="Times New Roman" w:cs="Times New Roman" w:eastAsia="Times New Roman" w:hAnsi="Times New Roman"/>
          <w:sz w:val="16"/>
          <w:szCs w:val="16"/>
          <w:color w:val="auto"/>
        </w:rPr>
      </w:pPr>
    </w:p>
    <w:p>
      <w:pPr>
        <w:ind w:left="860" w:hanging="387"/>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75% of subjects (9/12) in Cohort 5 remain free of anti-VEGF injections, with mean improvement in vision and retinal thickness</w:t>
      </w:r>
    </w:p>
    <w:p>
      <w:pPr>
        <w:spacing w:after="0" w:line="116" w:lineRule="exact"/>
        <w:rPr>
          <w:rFonts w:ascii="Times New Roman" w:cs="Times New Roman" w:eastAsia="Times New Roman" w:hAnsi="Times New Roman"/>
          <w:sz w:val="16"/>
          <w:szCs w:val="16"/>
          <w:color w:val="auto"/>
        </w:rPr>
      </w:pPr>
    </w:p>
    <w:p>
      <w:pPr>
        <w:ind w:left="860" w:right="180" w:hanging="387"/>
        <w:spacing w:after="0" w:line="285"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Durable effects on vision and retinal thickness demonstrated over 1.5 years in Cohort 3; 50% of subjects (3/6) remain free of anti-VEGF injections at 1.5 years after RGX-314 administration</w:t>
      </w:r>
    </w:p>
    <w:p>
      <w:pPr>
        <w:spacing w:after="0" w:line="55" w:lineRule="exact"/>
        <w:rPr>
          <w:rFonts w:ascii="Times New Roman" w:cs="Times New Roman" w:eastAsia="Times New Roman" w:hAnsi="Times New Roman"/>
          <w:sz w:val="16"/>
          <w:szCs w:val="16"/>
          <w:color w:val="auto"/>
        </w:rPr>
      </w:pPr>
    </w:p>
    <w:p>
      <w:pPr>
        <w:ind w:left="860" w:hanging="387"/>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Company on track to initiate a Phase IIb trial for wet AMD in late 2019</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ROCKVILLE, Md., October 11, 2019 (PRNewswire) — REGENXBIO Inc. (Nasdaq: RGNX), a leading clinical-stage biotechnology company seeking to improve lives through the curative potential of gene therapy based on its proprietary NAV</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Technology Platform, today announced interim data from the ongoing Phase I/IIa trial of RGX-314 for the treatment of wet age-related macular degeneration (wet AMD). The results were presented by Jeffrey S. Heier, M.D., Co-President and Director of Retina Research at Ophthalmic Consultants of Boston and primary investigator for the trial, in a podium presentation at the Retina Subspecialty Day program of the American Academy of Ophthalmology (AAO) 2019 Annual Meeting in San Francisco, CA.</w:t>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“Today’s interim update from the RGX-314 Phase I/IIa dose escalation study further demonstrates the significant reduction in anti-VEGF treatment burden and encouraging improvement or maintenance of effects on vision and retinal thickness in the three higher dose cohorts,” said Dr. Heier. “These effects are especially important as subjects in this study had been previously treated with chronic and burdensome anti-VEGF injections over several years, highlighting the severity of their disease. Today’s results further support the potential of RGX-314 gene therapy to have meaningful and durable effects in patients following a one-time intervention.”</w:t>
      </w:r>
    </w:p>
    <w:p>
      <w:pPr>
        <w:spacing w:after="0" w:line="16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6"/>
          <w:szCs w:val="16"/>
          <w:color w:val="auto"/>
        </w:rPr>
        <w:t xml:space="preserve">Detailed study findings, including those presented by Dr. Heier at AAO 2019, are available under the Presentations &amp; Publications page in the Media section of the company’s website located at </w:t>
      </w:r>
      <w:r>
        <w:rPr>
          <w:rFonts w:ascii="Times New Roman" w:cs="Times New Roman" w:eastAsia="Times New Roman" w:hAnsi="Times New Roman"/>
          <w:sz w:val="16"/>
          <w:szCs w:val="16"/>
          <w:u w:val="single" w:color="auto"/>
          <w:color w:val="auto"/>
        </w:rPr>
        <w:t>www.regenxbio.com</w:t>
      </w:r>
      <w:r>
        <w:rPr>
          <w:rFonts w:ascii="Times New Roman" w:cs="Times New Roman" w:eastAsia="Times New Roman" w:hAnsi="Times New Roman"/>
          <w:sz w:val="16"/>
          <w:szCs w:val="16"/>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Study Design and Safety</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In the Phase I/IIa trial of RGX-314, 42 subjects with severe wet AMD requiring frequent anti-vascular endothelial growth factor (anti-VEGF) injections have been treated across five dose cohorts, with doses ranging from 3x10</w:t>
      </w:r>
      <w:r>
        <w:rPr>
          <w:rFonts w:ascii="Times New Roman" w:cs="Times New Roman" w:eastAsia="Times New Roman" w:hAnsi="Times New Roman"/>
          <w:sz w:val="13"/>
          <w:szCs w:val="13"/>
          <w:color w:val="auto"/>
        </w:rPr>
        <w:t>9</w:t>
      </w:r>
      <w:r>
        <w:rPr>
          <w:rFonts w:ascii="Times New Roman" w:cs="Times New Roman" w:eastAsia="Times New Roman" w:hAnsi="Times New Roman"/>
          <w:sz w:val="16"/>
          <w:szCs w:val="16"/>
          <w:color w:val="auto"/>
        </w:rPr>
        <w:t xml:space="preserve"> GC/eye to 2.5x10</w:t>
      </w:r>
      <w:r>
        <w:rPr>
          <w:rFonts w:ascii="Times New Roman" w:cs="Times New Roman" w:eastAsia="Times New Roman" w:hAnsi="Times New Roman"/>
          <w:sz w:val="13"/>
          <w:szCs w:val="13"/>
          <w:color w:val="auto"/>
        </w:rPr>
        <w:t>11</w:t>
      </w:r>
      <w:r>
        <w:rPr>
          <w:rFonts w:ascii="Times New Roman" w:cs="Times New Roman" w:eastAsia="Times New Roman" w:hAnsi="Times New Roman"/>
          <w:sz w:val="16"/>
          <w:szCs w:val="16"/>
          <w:color w:val="auto"/>
        </w:rPr>
        <w:t xml:space="preserve"> GC/eye. Subjects were enrolled into all dose cohorts independent of their neutralizing antibody titers to AAV and did not receive prophylactic immune suppressive oral corticosteroid therapy before or after administration of RGX-314.</w:t>
      </w:r>
    </w:p>
    <w:p>
      <w:pPr>
        <w:spacing w:after="0" w:line="1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Subjects in the study are being assessed each month, with long-term follow-up continuing for 24 months. Assessments for the study include reduction in anti-VEGF intravitreal injections, change in vision measured by Best Corrected Visual Acuity (BCVA), change in central retinal thickness (CRT) measured by spectral domain optical coherence tomography (SD-OCT), and protein expression levels as measured from aqueous samples by electrochemiluminescence immunoassay (ECL).</w:t>
      </w:r>
    </w:p>
    <w:p>
      <w:pPr>
        <w:spacing w:after="0" w:line="1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As of October 9, 2019, RGX-314 continues to be well-tolerated across all cohorts, with no drug-related serious adverse events (SAEs) reported. Fifteen SAEs that were not related to RGX-314, including two ocular procedure-related SAEs, were reported in 9 subjects. There have been no reports of clinically-determined immune responses, drug-related ocular inflammation, or post-surgical inflammation beyond what is expected following routine vitrectomy.</w:t>
      </w:r>
    </w:p>
    <w:p>
      <w:pPr>
        <w:sectPr>
          <w:pgSz w:w="11900" w:h="16838" w:orient="portrait"/>
          <w:cols w:equalWidth="0" w:num="1">
            <w:col w:w="9800"/>
          </w:cols>
          <w:pgMar w:left="1060" w:top="121"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Summary of Data for Cohorts 4 and 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Today’s interim update includes data as of October 9, 2019 for Cohorts 4 and 5, which enrolled 12 subjects each, at doses of 1.6x10</w:t>
      </w:r>
      <w:r>
        <w:rPr>
          <w:rFonts w:ascii="Times New Roman" w:cs="Times New Roman" w:eastAsia="Times New Roman" w:hAnsi="Times New Roman"/>
          <w:sz w:val="13"/>
          <w:szCs w:val="13"/>
          <w:color w:val="auto"/>
        </w:rPr>
        <w:t>11</w:t>
      </w:r>
      <w:r>
        <w:rPr>
          <w:rFonts w:ascii="Times New Roman" w:cs="Times New Roman" w:eastAsia="Times New Roman" w:hAnsi="Times New Roman"/>
          <w:sz w:val="16"/>
          <w:szCs w:val="16"/>
          <w:color w:val="auto"/>
        </w:rPr>
        <w:t xml:space="preserve"> GC/eye and</w:t>
      </w:r>
    </w:p>
    <w:p>
      <w:pPr>
        <w:spacing w:after="0" w:line="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color w:val="auto"/>
        </w:rPr>
        <w:t>2.5x10</w:t>
      </w:r>
      <w:r>
        <w:rPr>
          <w:rFonts w:ascii="Times New Roman" w:cs="Times New Roman" w:eastAsia="Times New Roman" w:hAnsi="Times New Roman"/>
          <w:sz w:val="13"/>
          <w:szCs w:val="13"/>
          <w:color w:val="auto"/>
        </w:rPr>
        <w:t>11</w:t>
      </w:r>
      <w:r>
        <w:rPr>
          <w:rFonts w:ascii="Times New Roman" w:cs="Times New Roman" w:eastAsia="Times New Roman" w:hAnsi="Times New Roman"/>
          <w:sz w:val="16"/>
          <w:szCs w:val="16"/>
          <w:color w:val="auto"/>
        </w:rPr>
        <w:t xml:space="preserve"> GC/eye, respectively. All 12 subjects in Cohort 4 reached 6 months of follow-up, and subjects in Cohort 5 reached 5 or 6 months of follow-up as of the data cut-off, with the exception of one subject who discontinued from the study at 4 months</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Subjects in Cohort 5 on average had a meaningful reduction in anti-VEGF treatment burden, with 9 out of 12 (75%) subjects remaining anti-VEGF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injection-free as of the data cut-off. Across the 12 subjects, there was a mean of 0.8 injections through 5 or 6 months following administration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RGX-314, a reduction of over 80% from the mean annualized injection rate during the 12 months prior to administration of RGX-314. Importantly,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subjects in Cohort 5 improved visual acuity and decreased retinal thickness, with a mean BCVA change of +4 letters and a mean change in CRT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-68µm after one-time administration of RGX-314. The 9 subjects who were anti-VEGF injection-free after administration of RGX-314 showed a mean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BCVA improvement of +5 letters, and a mean improvement in CRT of -80µm.</w:t>
      </w:r>
    </w:p>
    <w:p>
      <w:pPr>
        <w:spacing w:after="0" w:line="1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Subjects in Cohort 4 on average also had a meaningful reduction in anti-VEGF treatment burden, with 5 out of 12 (42%) subjects receiving no anti-VEGF injections in 6 months following administration of RGX-314. Across the 12 subjects in the cohort, there was a mean of 2.2 injections over 6 months following administration of RGX-314, a reduction of over 50% from the mean annualized injection rate during the 12 months prior to administration of RGX-314. Subjects in Cohort 4 maintained visual acuity and decreased retinal thickness, with a mean BCVA change of +2 letters, and a mean change in CRT of -42 µm. The 5 subjects who did not receive anti-VEGF injections after administration of RGX-314 showed a mean BCVA change of +2 letters, and a mean improvement in CRT of -61µm.</w:t>
      </w:r>
    </w:p>
    <w:p>
      <w:pPr>
        <w:spacing w:after="0" w:line="163"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5"/>
          <w:szCs w:val="15"/>
          <w:color w:val="auto"/>
        </w:rPr>
        <w:t>Intraocular RGX-314 protein expression levels increased in a dose-dependent manner when measured at approximately one month after administration of RGX-314; the mean protein expression level in Cohort 4 was 249.4 ng/ml, and the mean protein expression level in Cohort 5 was 376.0 ng/ml.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Long-Term Data for Cohort 3</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Subjects in Cohort 3 continue to demonstrate long-term reductions in anti-VEGF treatment burden over 1.5 years. Importantly, 3 out of 6 subjects (50%) continue to remain anti-VEGF injection-free at 1.5 years. The 6 subjects across the cohort demonstrated a mean annualized rate of 2.6 anti-VEGF injections following administration of RGX-314, a reduction of over 50% from the mean annualized injection rate during the 12 months prior administration of RGX-314.</w:t>
      </w:r>
    </w:p>
    <w:p>
      <w:pPr>
        <w:spacing w:after="0" w:line="1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Positive long-term efficacy signals were sustained through 1.5 years in Cohort 3, including a mean BCVA improvement of +9 letters and a mean change in CRT of -40 µm. Notably, in the three patients who have remained anti-VEGF injection free at 1.5 years, the increase from baseline BCVA was +11 letters and the mean change in CRT was -21 µm.</w:t>
      </w:r>
    </w:p>
    <w:p>
      <w:pPr>
        <w:spacing w:after="0" w:line="1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“Frequent anti-VEGF injections have been shown to reduce the risk of blindness in subjects with wet AMD, but real-world evidence shows that people lose vision over time due to non-compliance. The notable reduction in anti-VEGF treatments seen after a single administration of the highest dose of RGX-314 in Cohort 5 is particularly encouraging, given the severity of the disease and the high treatment burden for these enrolled subjects prior to administration of RGX-314,” said Steve Pakola, M.D., Chief Medical Officer of REGENXBIO. “We look forward to our anticipated start of the Phase IIb trial in subjects with wet AMD by the end of this year.”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RGX-314</w:t>
      </w:r>
    </w:p>
    <w:p>
      <w:pPr>
        <w:spacing w:after="0" w:line="1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6"/>
          <w:szCs w:val="16"/>
          <w:color w:val="auto"/>
        </w:rPr>
        <w:t>RGX-314 is being developed as a potential one-time treatment for wet age-related macular degeneration (wet AMD), diabetic retinopathy (DR), and other additional chronic retinal conditions treated with anti-VEGF. RGX-314 consists of the NAV AAV8 vector encoding an antibody fragment which inhibits VEGF, modifying the pathway for formation of new leaky blood vessels which lead to retinal fluid accumulation and vision loss.</w:t>
      </w:r>
    </w:p>
    <w:p>
      <w:pPr>
        <w:sectPr>
          <w:pgSz w:w="11900" w:h="16838" w:orient="portrait"/>
          <w:cols w:equalWidth="0" w:num="1">
            <w:col w:w="9760"/>
          </w:cols>
          <w:pgMar w:left="1060" w:top="253" w:right="10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About the Phase I/IIa Clinical Trial of RGX-314</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RGX-314 is being evaluated in a Phase I/IIa, multi-center, open-label, multiple-cohort, dose-escalation study in adult subjects with wet AMD in the United States. The study includes subjects previously treated for wet AMD who are responsive to anti-VEGF therapy. The study is designed to evaluate five escalating doses of RGX-314, with six subjects in the first three dose cohorts and 12 subjects in the fourth and fifth dose cohorts. Subjects were enrolled into all dose cohorts independent of their neutralizing antibody titers to AAV and did not receive prophylactic immune suppressive oral corticosteroid therapy before or after administration of RGX-314. Secondary endpoints include visual acuity, retinal thickness on spectral domain optical coherence tomography (SD-OCT), ocular RGX-314 protein expression, and the need for additional anti-VEGF therapy. Following completion of the primary study period, subjects enter a follow-up period and will continue to be assessed until week 106 for long-term safety and durability of effect.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Wet AMD</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Wet AMD is characterized by loss of vision due to new, leaky blood vessel formation in the retina. Wet AMD is a significant cause of vision loss in the United States, Europe and Japan, with up to 2 million people living with wet AMD in these geographies alone. Current anti-VEGF therapies have significantly changed the landscape for treatment of wet AMD, becoming the standard of care due to their ability to prevent progression of vision loss in the majority of patients. These therapies, however, require life-long intraocular injections, typically repeated every four to 12 weeks in frequency, to maintain efficacy. Due to the burden of treatment, patients often experience a decline in vision with reduced frequency of treatment over time.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REGENXBIO Inc.</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REGENXBIO is a leading clinical-stage biotechnology company seeking to improve lives through the curative potential of gene therapy. REGENXBIO’s NAV Technology Platform, a proprietary adeno-associated virus (AAV) gene delivery platform, consists of exclusive rights to more than 100 novel AAV vectors, including AAV7, AAV8, AAV9 and AAVrh10. REGENXBIO and its third-party NAV Technology Platform Licensees are applying the NAV Technology Platform in the development of a broad pipeline of candidates in multiple therapeutic areas.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“design,” “intend,” “expect,” “could,” “plan,” “potential,” “predict,” “seek,” “should,” “would” or by variations of such words or by similar expressions. The forward-looking statements include statements relating to, among other things, REGENXBIO’s future operations and clinical trials.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w:t>
      </w:r>
    </w:p>
    <w:p>
      <w:pPr>
        <w:sectPr>
          <w:pgSz w:w="11900" w:h="16838" w:orient="portrait"/>
          <w:cols w:equalWidth="0" w:num="1">
            <w:col w:w="9800"/>
          </w:cols>
          <w:pgMar w:left="1060" w:top="253" w:right="1039" w:bottom="1440" w:gutter="0" w:footer="0" w:header="0"/>
        </w:sectPr>
      </w:pPr>
    </w:p>
    <w:bookmarkStart w:id="30" w:name="page31"/>
    <w:bookmarkEnd w:id="30"/>
    <w:p>
      <w:pPr>
        <w:ind w:left="7"/>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2018, and comparable “risk factors” sections of REGENXBIO’s Quarterly Reports on Form 10-Q and other filings, which have been filed with the U.S. Securities and Exchange Commission (SEC) and are available on the SEC’s website at www.sec.gov.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REGENXBIO does not undertake any obligation, and specifically declines any obligation, to update or revise any forward-looking statements, whether as a result of new information, future events or otherwise.</w:t>
      </w:r>
    </w:p>
    <w:p>
      <w:pPr>
        <w:spacing w:after="0" w:line="171" w:lineRule="exact"/>
        <w:rPr>
          <w:sz w:val="20"/>
          <w:szCs w:val="20"/>
          <w:color w:val="auto"/>
        </w:rPr>
      </w:pPr>
    </w:p>
    <w:p>
      <w:pPr>
        <w:ind w:left="7" w:right="40" w:hanging="7"/>
        <w:spacing w:after="0" w:line="282" w:lineRule="auto"/>
        <w:tabs>
          <w:tab w:leader="none" w:pos="10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subject died 4.5 months after the administration of RGX-314 as a result of the subject’s underlying disease, which was assessed to be unrelated to RGX-314. At the time of the death, the subject was free of anti-VEGF injections.</w:t>
      </w:r>
    </w:p>
    <w:p>
      <w:pPr>
        <w:spacing w:after="0" w:line="14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w:t>
      </w: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Tricia Truehart</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Investor Relations and Corporate Communications</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347-926-7709</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ttruehart@regenxbio.com</w:t>
      </w:r>
    </w:p>
    <w:p>
      <w:pPr>
        <w:spacing w:after="0" w:line="1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Investors:</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Heather Savelle, 212-600-1902</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heather@argotpartners.com</w:t>
      </w:r>
    </w:p>
    <w:p>
      <w:pPr>
        <w:spacing w:after="0" w:line="18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Media:</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David Rosen, 212-600-1902</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david.rosen@argotpartners.com</w:t>
      </w:r>
    </w:p>
    <w:sectPr>
      <w:pgSz w:w="11900" w:h="16838" w:orient="portrait"/>
      <w:cols w:equalWidth="0" w:num="1">
        <w:col w:w="9787"/>
      </w:cols>
      <w:pgMar w:left="1053" w:top="255"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2019-12-28T05:32:23Z</dcterms:created>
  <dcterms:modified xsi:type="dcterms:W3CDTF">2019-12-28T05:32:23Z</dcterms:modified>
</cp:coreProperties>
</file>