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9970d424b3.htm"/>
        <w:bookmarkStart w:id="1" w:name="ksd79970d424b3"/>
        <w:bookmarkEnd w:id="0"/>
        <w:bookmarkEnd w:id="1"/>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Filed Pursuant to Rule 424(b)(3)</w:t>
        <w:br/>
        <w:t xml:space="preserve">Registration No. 333-288053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235450" cy="5607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35450" cy="56070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Up to 268,096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resale of up to 268,096 shares of common stock, par value $0.0001 per share (the Shares), of REGENXBIO Inc. (the Company, we, our or us) by the selling stockholder named in this prospectus (the Selling Stockholder). The Shares are issuable to the Selling Stockholder upon the exercise of a warrant to purchase up to 268,096 Shares (the Warrant) at an exercise price of $14.92 per share, which Warrant was issued in a private placement in connection with the Loan Agreement, dated May 16, 2025, by and between REGENXBIO RS LLC, a wholly owned subsidiary of ours, and an affiliate of HealthCare Royalty Management, LLC. </w:t>
      </w:r>
    </w:p>
    <w:p>
      <w:pPr>
        <w:pStyle w:val="TextBody"/>
        <w:bidi w:val="0"/>
        <w:spacing w:before="240" w:after="0"/>
        <w:jc w:val="left"/>
        <w:rPr>
          <w:rFonts w:ascii="Times New Roman" w:hAnsi="Times New Roman"/>
          <w:sz w:val="20"/>
        </w:rPr>
      </w:pPr>
      <w:r>
        <w:rPr>
          <w:rFonts w:ascii="Times New Roman" w:hAnsi="Times New Roman"/>
          <w:sz w:val="20"/>
        </w:rPr>
        <w:t>We are registering the resale of the Shares on behalf of the Selling Stockholder, which it may offer and sell from time to time pursuant to this prospectus. We are not selling any securities under this prospectus and will not receive any of the proceeds from the sale of the Shares by the Selling Stockholder. We will receive proceeds of up to approximately $4.0 million upon the exercise in full of the Warrant by the Selling Stockholder for cash. For more information related to the Selling Stockholder, please refer to the section of this prospectus titled </w:t>
      </w:r>
      <w:r>
        <w:rPr>
          <w:rFonts w:ascii="Times New Roman" w:hAnsi="Times New Roman"/>
          <w:i/>
          <w:sz w:val="20"/>
        </w:rPr>
        <w:t>The Selling 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Selling Stockholder may sell the Shares at fixed prices, at prevailing market prices at the time of sale or at prices negotiated with the purchasers to or through underwriters, broker-dealers, agents, or through any other means described in the section of this prospectus titled </w:t>
      </w:r>
      <w:r>
        <w:rPr>
          <w:rFonts w:ascii="Times New Roman" w:hAnsi="Times New Roman"/>
          <w:i/>
          <w:sz w:val="20"/>
        </w:rPr>
        <w:t>Plan of Distribution</w:t>
      </w:r>
      <w:r>
        <w:rPr>
          <w:rFonts w:ascii="Times New Roman" w:hAnsi="Times New Roman"/>
          <w:sz w:val="20"/>
        </w:rPr>
        <w:t xml:space="preserve">. The Selling Stockholder will pay any discounts, commissions, and fees of underwriters, selling brokers, dealer managers or similar securities industry professionals incurred by such Selling Stockholder in disposing of the Shares covered by this prospectus. We will bear all costs, expenses and fees in connection with the registration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RGNX. On June 24, 2025, the last reported sale price of our common stock was $8.56.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significant risks. Before buying our securities, you should carefully read and consider the risks we describe in this prospectus and in any accompanying prospectus supplement, as well as the risk factors that are incorporated by reference into this prospectus and in any accompanying prospectus supplement from our filings made with the Securities and Exchange Commission. See </w:t>
      </w:r>
      <w:hyperlink w:anchor="rom79970_4">
        <w:r>
          <w:rPr>
            <w:rStyle w:val="InternetLink"/>
            <w:rFonts w:ascii="Times New Roman" w:hAnsi="Times New Roman"/>
            <w:b/>
            <w:sz w:val="24"/>
          </w:rPr>
          <w:t>Risk Factors</w:t>
        </w:r>
      </w:hyperlink>
      <w:r>
        <w:rPr>
          <w:rFonts w:ascii="Times New Roman" w:hAnsi="Times New Roman"/>
          <w:b/>
          <w:sz w:val="24"/>
        </w:rPr>
        <w:t xml:space="preserve"> beginning on page 3 of this prospectus. </w:t>
      </w:r>
    </w:p>
    <w:p>
      <w:pPr>
        <w:pStyle w:val="TextBody"/>
        <w:bidi w:val="0"/>
        <w:spacing w:before="240" w:after="0"/>
        <w:jc w:val="left"/>
        <w:rPr>
          <w:rFonts w:ascii="Times New Roman" w:hAnsi="Times New Roman"/>
          <w:sz w:val="20"/>
        </w:rPr>
      </w:pPr>
      <w:r>
        <w:rPr>
          <w:rFonts w:ascii="Times New Roman" w:hAnsi="Times New Roman"/>
          <w:b/>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June 25,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rom79970_1">
              <w:r>
                <w:rPr>
                  <w:rStyle w:val="InternetLink"/>
                  <w:rFonts w:ascii="Times New Roman" w:hAnsi="Times New Roman"/>
                  <w:sz w:val="20"/>
                </w:rPr>
                <w:t>SPECIAL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79970_2">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79970_3">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79970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79970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79970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79970_7">
              <w:r>
                <w:rPr>
                  <w:rStyle w:val="InternetLink"/>
                  <w:rFonts w:ascii="Times New Roman" w:hAnsi="Times New Roman"/>
                  <w:sz w:val="20"/>
                </w:rPr>
                <w:t>THE SELLING STOCKHOLDER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79970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79970_9">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79970_10">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rom79970_11">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rom79970_1"/>
      <w:bookmarkEnd w:id="3"/>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contains forward-looking statements within the meaning of Section 27A of the Securities Act of 1933, as amended (the Securities Act), and Section 21E of the Securities Exchange Act of 1934, as amended (the Exchange Act), which are subject to the safe harbor created by those sections for such statements. These statements express a belief, expectation or intention, and are generally accompanied by words that convey projected future events or outcomes such as anticipate, assume, believe, continue, could, design, estimate, expect, forecast, goal, intend, may, objective, plan, position, potential, predict, project, seek, should, will, would or variations of such words or by similar expressions. We have based these forward-looking statements on our current expectations, estimates and assumptions and analyses in light of our experience and our perception of historical trends, current conditions and expected future developments, as well as other factors we believe are appropriate under the circumstances. However, whether actual results and developments will conform with our expectations and predictions is subject to a number of risks, uncertainties, assumptions and other important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development partnerships, including our collaboration with AbbVie Inc. to develop and commercialize ABBV-RGX-314 and our collaboration with Nippon Shinyaku Co., Ltd. to develop and commercialize RGX-121 and RGX-111;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and the labeling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enrollment, commencement, completion and the success of our AAVIATE®, AFFINITY BEYOND®, AFFINITY DUCHENNE®, ALTITUDE®, ASCENT, ATMOSPHERE® and CAMPSIITE®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commencement and completion and the success of preclinical studies conducted by us and our development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timely development and launch of new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expansion and costs of developing and commercializing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and enforce intellectual property protection for our product candidates and technology, and defend against third-party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development and commercialization of product candidates currently being developed by third parties that utilize our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growth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trends and challenges in our business and the market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or retain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of the potential markets for our product candidates and the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any of our products that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expenses and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need for additional financing and our ability to obtain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outcome of 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regulatory developments in the United States and foreign countries;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government-imposed tariffs or other trade barriers on cost of goods and services, particularly related to partnered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financial markets and banking system that may affect the availability and terms on which we may obtain financing and our ability to accurately predict how long our existing cash resources will be sufficient to fund our anticipated operating expenses. </w:t>
            </w:r>
          </w:p>
        </w:tc>
      </w:tr>
    </w:tbl>
    <w:p>
      <w:pPr>
        <w:pStyle w:val="TextBody"/>
        <w:bidi w:val="0"/>
        <w:spacing w:before="240" w:after="0"/>
        <w:jc w:val="left"/>
        <w:rPr>
          <w:rFonts w:ascii="Times New Roman" w:hAnsi="Times New Roman"/>
          <w:sz w:val="20"/>
        </w:rPr>
      </w:pPr>
      <w:r>
        <w:rPr>
          <w:rFonts w:ascii="Times New Roman" w:hAnsi="Times New Roman"/>
          <w:sz w:val="20"/>
        </w:rPr>
        <w:t>You should carefully read the section of this prospectus titled </w:t>
      </w:r>
      <w:r>
        <w:rPr>
          <w:rFonts w:ascii="Times New Roman" w:hAnsi="Times New Roman"/>
          <w:i/>
          <w:sz w:val="20"/>
        </w:rPr>
        <w:t>Risk Factors,</w:t>
      </w:r>
      <w:r>
        <w:rPr>
          <w:rFonts w:ascii="Times New Roman" w:hAnsi="Times New Roman"/>
          <w:sz w:val="20"/>
        </w:rPr>
        <w:t> as well as both the </w:t>
      </w:r>
      <w:r>
        <w:rPr>
          <w:rFonts w:ascii="Times New Roman" w:hAnsi="Times New Roman"/>
          <w:i/>
          <w:sz w:val="20"/>
        </w:rPr>
        <w:t>Risk Factors</w:t>
      </w:r>
      <w:r>
        <w:rPr>
          <w:rFonts w:ascii="Times New Roman" w:hAnsi="Times New Roman"/>
          <w:sz w:val="20"/>
        </w:rPr>
        <w:t> and </w:t>
      </w:r>
      <w:r>
        <w:rPr>
          <w:rFonts w:ascii="Times New Roman" w:hAnsi="Times New Roman"/>
          <w:i/>
          <w:sz w:val="20"/>
        </w:rPr>
        <w:t>Managements Discussion and Analysis of Financial Condition and Results of Operations</w:t>
      </w:r>
      <w:r>
        <w:rPr>
          <w:rFonts w:ascii="Times New Roman" w:hAnsi="Times New Roman"/>
          <w:sz w:val="20"/>
        </w:rPr>
        <w:t xml:space="preserve"> sections included in our quarterly and annual filings with the U.S. Securities and Exchange Commission (the SEC), that are incorporated herein by reference, for a discussion of the risks, uncertainties, assumptions and other important factors that could cause our actual results or developments to differ materially and adversely from those projected in the forward-looking statements. The actual results or developments anticipated may not be realized or, even if substantially realized, they may not have the expected consequences to or effects on us or our businesses or operations. Such statements are not guarantees of future performance, and actual results or developments may differ materially and adversely from those projected in the forward-looking statements. These forward-looking statements made by us in this prospectus, or in the information incorporated by reference herein, speak only as of the date of the respective document. Except as required by law, we disclaim any duty to update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rom79970_2"/>
      <w:bookmarkEnd w:id="4"/>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Shares that may be resold by the Selling Stockholder. In certain circumstances, we may provide a prospectus supplement or free writing prospectus that will contain specific information about the terms of a particular offering by the Selling Stockholder. We also may provide a prospectus supplement to add, update or change information contained in this prospectus. To the extent there is a conflict between the information contained in this prospectus and in any prospectus supplement or free writing prospectus, you should rely on the information in the prospectus supplement or free writing prospectus, provided that if any statement in one of these documents is inconsistent with a statement in another document having a later datefor example, a document incorporated by reference in this prospectus or any prospectus supplementthe statement in the later-dated document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You should read this prospectus together with the additional information about our company to which we refer you in the section of this prospectus 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Neither we nor the Selling Stockholder has authorized anyone to provide you with information that is in addition to or different from that contained in this prospectus. We take no responsibility for, and can provide no assurance as to the reliability of, any information that others may provide. We will be offering to sell, and seeking offers to buy, our securities only in jurisdictions where such offers and sales are permitted. You should not assume that the information in this prospectus or any prospectus supplement or free writing prospectus that we have prepared or authorized is accurate as of any date other than the date of those documents, or that any information in documents that we have incorporated by reference is accurate except as of the date of such document, regardless of the time of delivery of this prospectus or any prospectus supplement or free writing prospectus, or the sale of any security hereunder. You should not consider this prospectus to be an offer or solicitation relating to the Shares in any jurisdiction in which such an offer or solicitation relating to the Shares is not authorized. Furthermore, you should not consider this prospectus to be an offer or solicitation relating to the Shares if the person making the offer or solicitation is not qualified to do so, or if it is unlawful for you to receive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We note that the representations, warranties, covenants and agreements made in any agreement or instrument that is filed as an exhibit to any document that is incorporated by reference herein were made solely for the benefit of the parties to such agreement or instrument, including in some cases, for the purpose of allocating risk among the parties to such agreements and instruments, and should not be deemed to be a representation, warranty or covenant to you. Moreover, such representations, warranties and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throughout this prospectus, the words REGENXBIO, Company we, our or us, refer to REGENXBIO Inc. </w:t>
      </w:r>
    </w:p>
    <w:p>
      <w:pPr>
        <w:pStyle w:val="TextBody"/>
        <w:bidi w:val="0"/>
        <w:spacing w:before="240" w:after="0"/>
        <w:jc w:val="left"/>
        <w:rPr>
          <w:rFonts w:ascii="Times New Roman" w:hAnsi="Times New Roman"/>
          <w:sz w:val="20"/>
        </w:rPr>
      </w:pPr>
      <w:r>
        <w:rPr>
          <w:rFonts w:ascii="Times New Roman" w:hAnsi="Times New Roman"/>
          <w:sz w:val="20"/>
        </w:rPr>
        <w:t xml:space="preserve">AAVIATE, AFFINITY BEYOND, AFFINITY DUCHENNE, ALTITUDE, ATMOSPHERE, CAMPSIITE, NAV, NAVXpress, NAVXcell, REGENXBIO and the REGENXBIO logos are our registered trademarks. Any other trademarks appearing in this prospectus are the property of their respective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rom79970_3"/>
      <w:bookmarkEnd w:id="5"/>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clinical-stage biotechnology company seeking to improve lives through the curative potential of gene therapy. Our investigational gene therapies are designed to deliver functional genes to address genetic defects in cells, enabling the production of therapeutic proteins or antibodies that are intended to impact disease. Through a single administration, gene therapy could potentially alter the course of disease significantly and deliver improved patient outcomes with long-lasting effects. </w:t>
      </w:r>
    </w:p>
    <w:p>
      <w:pPr>
        <w:pStyle w:val="TextBody"/>
        <w:bidi w:val="0"/>
        <w:spacing w:before="240" w:after="0"/>
        <w:jc w:val="left"/>
        <w:rPr>
          <w:rFonts w:ascii="Times New Roman" w:hAnsi="Times New Roman"/>
          <w:sz w:val="20"/>
        </w:rPr>
      </w:pPr>
      <w:r>
        <w:rPr>
          <w:rFonts w:ascii="Times New Roman" w:hAnsi="Times New Roman"/>
          <w:sz w:val="20"/>
        </w:rPr>
        <w:t xml:space="preserve">Our investigational gene therapies use adeno-associated virus (AAV) vectors from our proprietary gene delivery platform, which we call our NAV® Technology Platform. AAV vectors are non-replicating viral delivery vehicles that are not known to cause disease. Our NAV Technology Platform consists of exclusive rights to a large portfolio of AAV vectors (NAV Vectors), including commonly used AAV8 and AAV9. We believe this platform forms a strong foundation for our current clinical-stage programs and, with our ongoing research and development, we expect to continue to expand our platform and pipeline of potential AAV vector-based gene therapies. We refer to commercial and investigational AAV vector-based gene therapies as AAV Therapeutics. Our NAV Technology Platform is the foundation for commercial and investigational AAV Therapeutics that have treated thousands of patients through our clinical pipeline and NAV licensees.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9804 Medical Center Drive, Rockville, Maryland 20850, and our telephone number is (240) 552-8181.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rom79970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risk. You should carefully read and consider the specific risks discussed or incorporated by reference into this prospectus, together with all the other information contained in this prospectus or incorporated by reference into this prospectus, including the risks, uncertainties and assumptions discussed under the </w:t>
      </w:r>
      <w:r>
        <w:rPr>
          <w:rFonts w:ascii="Times New Roman" w:hAnsi="Times New Roman"/>
          <w:i/>
          <w:sz w:val="20"/>
        </w:rPr>
        <w:t>Risk Factors</w:t>
      </w:r>
      <w:r>
        <w:rPr>
          <w:rFonts w:ascii="Times New Roman" w:hAnsi="Times New Roman"/>
          <w:sz w:val="20"/>
        </w:rPr>
        <w:t> section in any documents we file with the SEC, and specifically, you should read and consider the </w:t>
      </w:r>
      <w:r>
        <w:rPr>
          <w:rFonts w:ascii="Times New Roman" w:hAnsi="Times New Roman"/>
          <w:i/>
          <w:sz w:val="20"/>
        </w:rPr>
        <w:t>Risk Factors</w:t>
      </w:r>
      <w:r>
        <w:rPr>
          <w:rFonts w:ascii="Times New Roman" w:hAnsi="Times New Roman"/>
          <w:sz w:val="20"/>
        </w:rPr>
        <w:t xml:space="preserve"> section found in our most recent Annual Report on Form 10-K, our Quarterly Reports on Form 10-Q and our Current Reports on Form 8-K. These risk 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if any additional risks or uncertainties actually occur, our business, financial condition and results of operations could be materially and adversely affected. In that case, the trading price of our securities could decline and you might lose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79970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the Shares. All proceeds from the sale of the Shares will be for the account of the Selling Stockholder. However, the Company will receive the proceeds of any cash exercise of the Warrant. If the Warrant is exercised in full for cash, we would receive aggregate proceeds of approximately $4.0 million. </w:t>
      </w:r>
    </w:p>
    <w:p>
      <w:pPr>
        <w:pStyle w:val="TextBody"/>
        <w:bidi w:val="0"/>
        <w:spacing w:before="240" w:after="0"/>
        <w:jc w:val="left"/>
        <w:rPr>
          <w:rFonts w:ascii="Times New Roman" w:hAnsi="Times New Roman"/>
          <w:sz w:val="20"/>
        </w:rPr>
      </w:pPr>
      <w:r>
        <w:rPr>
          <w:rFonts w:ascii="Times New Roman" w:hAnsi="Times New Roman"/>
          <w:sz w:val="20"/>
        </w:rPr>
        <w:t xml:space="preserve">We will bear all other costs, fees and expenses incurred in effecting the registration of the Shares covered by this prospectus, including without limitation, registration, qualification, filing fees, Nasdaq listing fees and fees and expenses of our counsel and our accountants. The Selling Stockholder will pay any discounts, commissions, and fees of underwriters, selling brokers, dealer managers or similar securities industry professionals incurred by such Selling Stockholder in disposing of the Shares covered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rom79970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The following description is a general summary of the terms of the shares of common stock and shares of preferred stock that we may issue. The description below, and in any prospectus supplement, does not include all of the terms of the shares of common stock or shares of preferred stock and should be read together with our restated certificate of incorporation and amended and restated bylaws, copies of which have been filed previously with the SEC. For more information on how you can obtain copies of our restated certificate of incorporation and amended and restated bylaws, see the section 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110,000,000 shares, of which 100,000,000 shares are designated as common stock, par value $0.0001 per share, and 10,000,000 shares are designated as preferred stock, par value $0.0001 per share. The outstanding shares of our common stock are fully paid and non-assessable. As of June 9, 2025, we had 50,388,693 shares of common stock outstanding held of record by five stockholders. No shares of preferred stock were outstanding as of such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and 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have no preemptive or conversion rights or other subscription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and Sinking Fund Rights </w:t>
      </w:r>
    </w:p>
    <w:p>
      <w:pPr>
        <w:pStyle w:val="TextBody"/>
        <w:bidi w:val="0"/>
        <w:spacing w:before="120" w:after="0"/>
        <w:jc w:val="left"/>
        <w:rPr>
          <w:rFonts w:ascii="Times New Roman" w:hAnsi="Times New Roman"/>
          <w:sz w:val="20"/>
        </w:rPr>
      </w:pPr>
      <w:r>
        <w:rPr>
          <w:rFonts w:ascii="Times New Roman" w:hAnsi="Times New Roman"/>
          <w:sz w:val="20"/>
        </w:rPr>
        <w:t xml:space="preserve">There are no redemption or sinking fund provisions applicable to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our liquidation, dissolution or winding-up, the holders of common stock are entitled to share ratably in all assets remaining after payment of all liabilities and the liquidation preferences of any outstanding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common stock is entitled to one vote per share on all matters submitted to a vote of stockholders. Notwithstanding the previous sentence, unless otherwise provided by law holders of common stock are not entitled to vote on any amendment to our restated certificate of incorporation that relates solely to the terms of any preferred stock if the holders of such preferred stock are entitled to vote on such amendment. Except as otherwise provided by law, our restated certificate of incorporation or our amended and restated bylaws, all matters other than the election of directors shall be decided by the affirmative vote of a majority of the voting power of the outstanding voting stock that is present in person or represented by proxy at a meeting of stockholders and entitled to vote thereon. Except as otherwise set forth in the restated certificate of incorporation with respect to the right of holders of any series of preferred stock or any other series or class of stock to elect additional directors under specified circumstances, a plurality of votes cast shall elect directors. </w:t>
      </w:r>
    </w:p>
    <w:p>
      <w:pPr>
        <w:pStyle w:val="TextBody"/>
        <w:bidi w:val="0"/>
        <w:spacing w:before="240" w:after="0"/>
        <w:jc w:val="left"/>
        <w:rPr>
          <w:rFonts w:ascii="Times New Roman" w:hAnsi="Times New Roman"/>
          <w:sz w:val="20"/>
        </w:rPr>
      </w:pPr>
      <w:r>
        <w:rPr>
          <w:rFonts w:ascii="Times New Roman" w:hAnsi="Times New Roman"/>
          <w:sz w:val="20"/>
        </w:rPr>
        <w:t xml:space="preserve">We have not provided for cumulative voting in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General Corporation Law of the State of Delaware, or the Delaware General Corporation Law, provides that holders of a class of stock will have the right to vote separately as a class on any proposal involving fundamental changes in the rights of the holders of that class of stock for proposals that adversely affect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Anti-Takeover Effects of Delaware Law and Our Restated Certificate of Incorporation and Amended and Restated Bylaws </w:t>
      </w:r>
    </w:p>
    <w:p>
      <w:pPr>
        <w:pStyle w:val="TextBody"/>
        <w:bidi w:val="0"/>
        <w:spacing w:before="120" w:after="0"/>
        <w:jc w:val="left"/>
        <w:rPr>
          <w:rFonts w:ascii="Times New Roman" w:hAnsi="Times New Roman"/>
          <w:sz w:val="20"/>
        </w:rPr>
      </w:pPr>
      <w:r>
        <w:rPr>
          <w:rFonts w:ascii="Times New Roman" w:hAnsi="Times New Roman"/>
          <w:sz w:val="20"/>
        </w:rPr>
        <w:t xml:space="preserve">Delaware law, our restated certificate of incorporation and our amended and restated bylaws contain provisions that could make it more difficult to effect an acquisition of us by means of a tender offer, proxy contest or otherwise, or to remove our incumbent officers and directors. It is possible that these provisions could make it more difficult to accomplish, or could deter, transactions that stockholders otherwise consider to be in our or their best interest,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unsolicited or unfriendly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Business Combination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Delaware General Corporation Law. Section 203 prohibits a publicly held Delaware corporation from engaging in a business combination with an interested stockholder for a period of three years following the time of the transaction in which the person or entity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that time, either the business combination or the transaction that resulted in the stockholder becoming an interested stockholder is approved by the board of directors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the outstanding voting stock of the corporation, excluding for this purpose shares owned by persons who are directors and also officers of the corporation and by specified employee benefit plans;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such time, the business combination is approved by the board of directors of the corporation and by the affirmative vote, and not by written consent,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Section 203, a business combination is broadly defined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of 10% or more of the assets of the corporation involving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that results in the issuance or transfer by the corporation of any stock of the corporation to the interested stockholder, subject to limited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of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interested stockholder is a person who, together with affiliates and associates, owns or within the immediately preceding three years did own 15% or more of the corporations voting stock. </w:t>
      </w:r>
    </w:p>
    <w:p>
      <w:pPr>
        <w:pStyle w:val="TextBody"/>
        <w:bidi w:val="0"/>
        <w:spacing w:before="360" w:after="0"/>
        <w:jc w:val="left"/>
        <w:rPr>
          <w:rFonts w:ascii="Times New Roman" w:hAnsi="Times New Roman"/>
          <w:i/>
          <w:sz w:val="20"/>
        </w:rPr>
      </w:pPr>
      <w:r>
        <w:rPr>
          <w:rFonts w:ascii="Times New Roman" w:hAnsi="Times New Roman"/>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our board of directors, without action by the stockholders, to issue up to 10,000,000 shares of undesignated preferred stock with voting or other rights or preferences as designated by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impede the success of any attempt to change control of us. The existence of authorized but unissued shares of preferred stock may have the effect of deferring hostile takeovers or delaying changes in control or management of our company.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 Action by Written Consent;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and amended and restated bylaws eliminate the right of stockholders to act by written consent without a meeting. As a result, a holder controlling a majority of our capital stock would not be able to amend our bylaws or remove directors without holding a meeting of our stockholders called in accordance with our amended and restated bylaws. Our restated certificate of incorporation and amended and restated bylaws provide that a special meeting of stockholders may be called only by our chairman of the board or our chief executive officer (or if there is no chief executive officer, the president), or by a resolution adopted by a majority of our board of directors. These provisions might delay the ability of our stockholders to force consideration of a proposal or for stockholders controlling a majority of our capital stock to take any action, including the removal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These provisions could have the effect of delaying until the next stockholder meeting stockholder actions that are favored by the holders of a majority of our outstanding voting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Staggered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will serve for a three-year term, one class being elected each year by our stockholders. This system of electing and removing directors may discourage a third 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provides that no member of our board of directors may be removed from office by our stockholders except for cause and, in addition to any other vote required by law, upon the approval of holders of at least two-thirds of the total voting power of all of our outstanding voting stock then entitled to vote in the election of directors. </w:t>
      </w:r>
    </w:p>
    <w:p>
      <w:pPr>
        <w:pStyle w:val="TextBody"/>
        <w:bidi w:val="0"/>
        <w:spacing w:before="360" w:after="0"/>
        <w:jc w:val="left"/>
        <w:rPr>
          <w:rFonts w:ascii="Times New Roman" w:hAnsi="Times New Roman"/>
          <w:i/>
          <w:sz w:val="20"/>
        </w:rPr>
      </w:pPr>
      <w:r>
        <w:rPr>
          <w:rFonts w:ascii="Times New Roman" w:hAnsi="Times New Roman"/>
          <w:i/>
          <w:sz w:val="20"/>
        </w:rPr>
        <w:t xml:space="preserve">Board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and amended and restated bylaws authorize our board of directors to fill vacant directorships. In addition, the number of directors constituting our board of directors is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Amendment of Charter and Bylaw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preferred stock, would require approval by holders of at least two-thirds of the total voting power of all of our outstanding voting stock. In addition, the affirmative vote of the holders of at least two-thirds of the total voting power of all of our outstanding voting stock is required for stockholders to amend our amended and restated bylaws.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provides that the Court of Chancery of the State of Delaware (or, if the Court of Chancery does not have jurisdiction, the federal district court for the District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amended and restated bylaws; or any action asserting a claim against us that is governed by the internal affairs doctrine. Additionally, if the subject matter of any action within the scope of the preceding sentence is filed in a court other than a court located with the State of Delaware, or is a foreign action (as defined in our restated certificate of incorporation),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w:t>
      </w:r>
    </w:p>
    <w:p>
      <w:pPr>
        <w:pStyle w:val="TextBody"/>
        <w:bidi w:val="0"/>
        <w:spacing w:before="240" w:after="0"/>
        <w:jc w:val="left"/>
        <w:rPr>
          <w:rFonts w:ascii="Times New Roman" w:hAnsi="Times New Roman"/>
          <w:sz w:val="20"/>
        </w:rPr>
      </w:pPr>
      <w:r>
        <w:rPr>
          <w:rFonts w:ascii="Times New Roman" w:hAnsi="Times New Roman"/>
          <w:sz w:val="20"/>
        </w:rPr>
        <w:t xml:space="preserve">The enforceability of similar choice of forum provisions in other companies certificates of incorporation has been challenged in legal proceedings, and it is possible that a court could find these types of provisions to be inapplicable or unenforceable.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of incorporation includes provisions that limit the liability of our directors for monetary damages for breach of their fiduciary duty as directors, except for liability that cannot be eliminated under the Delaware General Corporation Law. Accordingly, our directors will not be personally liable for monetary damages for breach of their fiduciary duty as directors, except for liabilities: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acts or omissions not in good faith or which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unlawful payments of dividends or unlawful stock repurchases or redemptions, as provided under Section 174 of the Delaware General Corporation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any transaction from which the director derived an improper personal benefit.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amendment or repeal of these provisions will require the approval of the holders of shares representing at least two-thirds of the shares entitled to vote in the election of directors, voting as one class. </w:t>
      </w:r>
    </w:p>
    <w:p>
      <w:pPr>
        <w:pStyle w:val="TextBody"/>
        <w:bidi w:val="0"/>
        <w:spacing w:before="240" w:after="0"/>
        <w:jc w:val="left"/>
        <w:rPr>
          <w:rFonts w:ascii="Times New Roman" w:hAnsi="Times New Roman"/>
          <w:sz w:val="20"/>
        </w:rPr>
      </w:pPr>
      <w:r>
        <w:rPr>
          <w:rFonts w:ascii="Times New Roman" w:hAnsi="Times New Roman"/>
          <w:sz w:val="20"/>
        </w:rPr>
        <w:t xml:space="preserve">Our restated certificate of incorporation and amended and restated bylaws also provide that we will indemnify our directors and officers to the fullest extent permitted by Delaware law. Our amended and restated bylaws also permit us to purchase insurance on behalf of any officer, director, employee or other agent for any liability arising out of his or her actions as our officer, director, employee or agent, regardless of whether Delaware law would permit indemnification. We have entered into separate indemnification agreements with our directors and officers that require us, among other things, to indemnify them against certain liabilities that may arise by reason of their status or service as directors and to advance their expenses incurred as a result of any proceeding against them as to which they could be indemnified. We believe that the limitation of liability provision in our restated certificate of incorporation and the indemnification agreements facilitate our ability to continue to attract and retain qualified individuals to serve as directors and officers. The limitation of liability and indemnification provisions in our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RGNX.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79970_7"/>
      <w:bookmarkEnd w:id="9"/>
      <w:r>
        <w:rPr>
          <w:rFonts w:ascii="Times New Roman" w:hAnsi="Times New Roman"/>
          <w:b/>
          <w:sz w:val="20"/>
        </w:rPr>
        <w:t xml:space="preserve">THE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have prepared this prospectus to allow the Selling Stockholder to sell or otherwise dispose of, from time to time, up to 268,096 Shares of our common stock issuable upon the Selling Stockholders exercise of the Warrant at an exercise price of $14.92 per share, which Warrant was issued in connection with execution of a Loan Agreement, dated May 16, 2025, by and between REGENXBIO RS LLC, a wholly owned subsidiary of the Company, and an affiliate of HealthCare Royalty Management, LLC. We issued the Warrant on May 16, 2025 in a private placement conducted, in reliance upon Section 4(a)(2)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identity of the Selling Stockholder, the number of Shares and the percentage of Shares beneficially owned by the Selling Stockholder and its affiliates prior to this offering, the number of Shares that may be offered under this prospectus by the Selling Stockholder, and the number of shares of our Common Stock and the percentage of our Common Stock to be beneficially owned by the Selling Stockholder and its affiliates after the completion of this offering, assuming that all Shares offered hereunder are sold by the Selling Stockholder as contemplated herein. The number of Shares in the column Maximum number of shares that may be offered represents all of the Shares that the Selling Stockholder may offer under this prospectus. For purposes of the table below, the beneficial ownership amounts and percentages are based on a total of 50,388,693 shares of our common stock outstanding as of June 9, 2025.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additional selling stockholders, if any, including their identities and the Shares to be registered on their behalf, may be set forth in a prospectus supplement, in a post-effective amendment or in filings that we make with the SEC under the Exchange Act, which are incorporated by reference in this prospectus. Information concerning the Selling Stockholder may change from time to time. Any changes to the information provided below will be set forth in a supplement to this prospectus, in a post-effective amendment or in filings we make with the SEC under the Exchange Act, which are incorporated by reference into this prospectus, if and when necessary.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70"/>
        <w:gridCol w:w="291"/>
        <w:gridCol w:w="75"/>
        <w:gridCol w:w="866"/>
        <w:gridCol w:w="60"/>
        <w:gridCol w:w="220"/>
        <w:gridCol w:w="343"/>
        <w:gridCol w:w="833"/>
        <w:gridCol w:w="127"/>
        <w:gridCol w:w="361"/>
        <w:gridCol w:w="78"/>
        <w:gridCol w:w="1070"/>
        <w:gridCol w:w="60"/>
        <w:gridCol w:w="291"/>
        <w:gridCol w:w="262"/>
        <w:gridCol w:w="618"/>
        <w:gridCol w:w="130"/>
        <w:gridCol w:w="424"/>
        <w:gridCol w:w="454"/>
        <w:gridCol w:w="704"/>
        <w:gridCol w:w="68"/>
      </w:tblGrid>
      <w:tr>
        <w:trPr/>
        <w:tc>
          <w:tcPr>
            <w:tcW w:w="287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697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r>
          </w:p>
        </w:tc>
        <w:tc>
          <w:tcPr>
            <w:tcW w:w="68"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397" w:type="dxa"/>
            <w:gridSpan w:val="6"/>
            <w:tcBorders>
              <w:bottom w:val="single" w:sz="8" w:space="0" w:color="000000"/>
            </w:tcBorders>
            <w:tcMar>
              <w:bottom w:w="28" w:type="dxa"/>
            </w:tcMar>
            <w:vAlign w:val="bottom"/>
          </w:tcPr>
          <w:p>
            <w:pPr>
              <w:pStyle w:val="TableContents"/>
              <w:bidi w:val="0"/>
              <w:spacing w:before="0" w:after="283"/>
              <w:jc w:val="center"/>
              <w:rPr/>
            </w:pPr>
            <w:r>
              <w:rPr>
                <w:b/>
              </w:rPr>
              <w:t>Shares beneficially</w:t>
            </w:r>
            <w:r>
              <w:rPr/>
              <w:br/>
            </w:r>
            <w:r>
              <w:rPr>
                <w:b/>
              </w:rPr>
              <w:t>owned prior to this</w:t>
            </w:r>
            <w:r>
              <w:rPr/>
              <w:br/>
            </w:r>
            <w:r>
              <w:rPr>
                <w:b/>
              </w:rPr>
              <w:t>offering(1)</w:t>
            </w:r>
          </w:p>
        </w:tc>
        <w:tc>
          <w:tcPr>
            <w:tcW w:w="127" w:type="dxa"/>
            <w:tcBorders/>
            <w:vAlign w:val="bottom"/>
          </w:tcPr>
          <w:p>
            <w:pPr>
              <w:pStyle w:val="TableContents"/>
              <w:bidi w:val="0"/>
              <w:spacing w:before="0" w:after="283"/>
              <w:jc w:val="left"/>
              <w:rPr/>
            </w:pPr>
            <w:r>
              <w:rPr/>
              <w:t> </w:t>
            </w:r>
          </w:p>
        </w:tc>
        <w:tc>
          <w:tcPr>
            <w:tcW w:w="361" w:type="dxa"/>
            <w:vMerge w:val="restart"/>
            <w:tcBorders/>
            <w:vAlign w:val="bottom"/>
          </w:tcPr>
          <w:p>
            <w:pPr>
              <w:pStyle w:val="TableContents"/>
              <w:bidi w:val="0"/>
              <w:spacing w:before="0" w:after="283"/>
              <w:jc w:val="left"/>
              <w:rPr/>
            </w:pPr>
            <w:r>
              <w:rPr/>
              <w:t>  </w:t>
            </w:r>
          </w:p>
        </w:tc>
        <w:tc>
          <w:tcPr>
            <w:tcW w:w="1148"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number of</w:t>
            </w:r>
            <w:r>
              <w:rPr/>
              <w:br/>
            </w:r>
            <w:r>
              <w:rPr>
                <w:b/>
              </w:rPr>
              <w:t>shares that</w:t>
            </w:r>
            <w:r>
              <w:rPr/>
              <w:br/>
            </w:r>
            <w:r>
              <w:rPr>
                <w:b/>
              </w:rPr>
              <w:t>may be</w:t>
            </w:r>
            <w:r>
              <w:rPr/>
              <w:br/>
            </w:r>
            <w:r>
              <w:rPr>
                <w:b/>
              </w:rPr>
              <w:t>offered</w:t>
            </w:r>
          </w:p>
        </w:tc>
        <w:tc>
          <w:tcPr>
            <w:tcW w:w="60" w:type="dxa"/>
            <w:vMerge w:val="restart"/>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2592" w:type="dxa"/>
            <w:gridSpan w:val="6"/>
            <w:tcBorders>
              <w:bottom w:val="single" w:sz="8" w:space="0" w:color="000000"/>
            </w:tcBorders>
            <w:tcMar>
              <w:bottom w:w="28" w:type="dxa"/>
            </w:tcMar>
            <w:vAlign w:val="bottom"/>
          </w:tcPr>
          <w:p>
            <w:pPr>
              <w:pStyle w:val="TableContents"/>
              <w:bidi w:val="0"/>
              <w:spacing w:before="0" w:after="283"/>
              <w:jc w:val="center"/>
              <w:rPr/>
            </w:pPr>
            <w:r>
              <w:rPr>
                <w:b/>
              </w:rPr>
              <w:t>Shares beneficially</w:t>
            </w:r>
            <w:r>
              <w:rPr/>
              <w:br/>
            </w:r>
            <w:r>
              <w:rPr>
                <w:b/>
              </w:rPr>
              <w:t>owned after this</w:t>
            </w:r>
            <w:r>
              <w:rPr/>
              <w:br/>
            </w:r>
            <w:r>
              <w:rPr>
                <w:b/>
              </w:rPr>
              <w:t>offering</w:t>
            </w:r>
          </w:p>
        </w:tc>
        <w:tc>
          <w:tcPr>
            <w:tcW w:w="68"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1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127" w:type="dxa"/>
            <w:tcBorders/>
            <w:vAlign w:val="bottom"/>
          </w:tcPr>
          <w:p>
            <w:pPr>
              <w:pStyle w:val="TableContents"/>
              <w:bidi w:val="0"/>
              <w:spacing w:before="0" w:after="283"/>
              <w:jc w:val="left"/>
              <w:rPr/>
            </w:pPr>
            <w:r>
              <w:rPr/>
              <w:t> </w:t>
            </w:r>
          </w:p>
        </w:tc>
        <w:tc>
          <w:tcPr>
            <w:tcW w:w="361" w:type="dxa"/>
            <w:vMerge w:val="continue"/>
            <w:tcBorders/>
            <w:vAlign w:val="bottom"/>
          </w:tcPr>
          <w:p>
            <w:pPr>
              <w:pStyle w:val="Normal"/>
              <w:bidi w:val="0"/>
              <w:jc w:val="left"/>
              <w:rPr/>
            </w:pPr>
            <w:r>
              <w:rPr/>
            </w:r>
          </w:p>
        </w:tc>
        <w:tc>
          <w:tcPr>
            <w:tcW w:w="1148"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91"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30"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1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8" w:type="dxa"/>
            <w:tcBorders/>
            <w:vAlign w:val="bottom"/>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HCR RGNX ROYALTY SPV, LP(2)</w:t>
            </w:r>
          </w:p>
        </w:tc>
        <w:tc>
          <w:tcPr>
            <w:tcW w:w="29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268,096</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w:t>
            </w:r>
          </w:p>
        </w:tc>
        <w:tc>
          <w:tcPr>
            <w:tcW w:w="127"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268,096</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8" w:type="dxa"/>
            <w:tcBorders/>
            <w:shd w:fill="CCEEFF" w:val="clear"/>
            <w:vAlign w:val="bottom"/>
          </w:tcPr>
          <w:p>
            <w:pPr>
              <w:pStyle w:val="TableContents"/>
              <w:bidi w:val="0"/>
              <w:spacing w:before="0" w:after="283"/>
              <w:jc w:val="right"/>
              <w:rPr/>
            </w:pPr>
            <w:r>
              <w:rPr/>
              <w:t>0</w:t>
            </w:r>
          </w:p>
        </w:tc>
        <w:tc>
          <w:tcPr>
            <w:tcW w:w="130"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table, a person is deemed to have beneficial ownership of any shares that are currently exercisable or exercisable within 60 days of the date of this prospectus in accordance with SEC rules.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HealthCare Royalty Management, LLC is the investment manager for each of HCRX Master GP LLC (Master GP) and HCR Stafford II GP, LLC (Stafford II GP). Master GP and Stafford II GP are the general partners of HCRX Investments HoldCo, L.P. and HCR Stafford Fund II, L.P., respectively, which collectively own 100% of the partnership interest in the Selling Stockholder. Clark B. Futch may be deemed to have investment discretion and voting power with respect to the shares held by the Selling Stockholder due to his role in directing the investment decisions of HealthCare Royalty Management LLC and through his service as Chief Executive Officer of Master GP and Stafford II GP. The address of the Selling Stockholder is c/o HCRX Investments HoldCo, L.P., 300 Atlantic Street, Suite 600, Stamford, CT 06901.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79970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from time to time, offer some or all of the Shares by this prospectus. We will not receive any of the proceeds from the sale of the Shares by the Selling Stockholder. The Selling Stockholder will act independently of us in making decisions with respect to the timing, manner and size of each sale. We will bear all fees and expenses incident to our obligation to register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sell all or a portion of the Shares beneficially owned by it and offered hereby from time to time directly to one or more purchasers or to or through one or more underwriters, broker-dealers or agents or through a combination of any of these methods. If the Shares are sold through underwriters or broker-dealers, the Selling Stockholder will be responsible for underwriting discounts or commissions or agents commissions in connection with the sale of the Shares. The Shares may be sold on any national securities exchange on which the Shares may be listed at the time of sale, in the over-the-counter market or in transactions other than on such exchange or in the over-the-counter market and in one or more transactions at fixed prices, at prevailing market prices at the time of the sale, at varying prices determined at the time of sale, or at privately negotiated prices. These sales may be effected in transactions, which may involve crosses or block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use any one or more of the following methods when disposing of the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over-the-counter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trading plans entered into by the Selling Stockholder pursuant to Rule 10b5-1 under the Exchange Act, that are in place at the time of an offering pursuant to this prospectus that provides for periodic sales of their securities on the basis of parameters described in such trading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firm-commitment underwritten public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from time to time, pledge or grant a security interest in some or all of the Shares owned by it and, if it defaults in the performance of its secured obligations, the pledgees or secured parties may offer and sell the Shares from time to time under this prospectus or under an amendment or supplement to this prospectus to include the pledgee, transferee, or other successors in interest as the Selling Stockholder under this prospectus. The Selling Stockholder also may transfer the Shares in other circumstances, in which case the transferees, pledgees or other successors in interest will be the beneficial owners for purposes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sale of Shares, the Selling Stockholder may enter into hedging transactions with broker-dealers or affiliates thereof or other financial institutions, which may in turn engage in short sales of our common stock in the course of hedging the positions it assumes. The Selling Stockholder may also sell shares of common stock short and deliver the Shares to close out its short positions, or loan or pledge the Shares to broker-dealers that in turn may sell these securities. The Selling Stockholder may also enter into option or other transactions with broker-dealers or affiliates thereof or other financial institutions or the creation of one or more derivative securities which require the delivery to such broker-dealer or affiliates thereof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Selling Stockholder may enter into derivative or hedging transactions with third parties, or sell securities not covered by this prospectus to third parties in privately negotiated transactions. In connection with such a transaction, the third parties may sell the applicable securities covered by and pursuant to this prospectus or any pricing supplement, as the case may be. If so, the third party may use securities borrowed from the Selling Stockholder or others to settle such sales and may use securities received from the Selling Stockholder to close out any related short positions. The Selling Stockholder may also loan or pledge securities covered by this prospectus to third parties, who may sell the loaned securities or, in an event of default in the case of a pledge, sell the pledged securities pursuant to this prospectus or any pricing supplement,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Selling Stockholder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our affiliate (or to the extent otherwise required by law), we may, at our option, file a prospectus supplement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connection with any particular offering of Shares, the obligations of the underwriters to purchase the Shares will be subject to certain conditions contained in an underwriting agreement that the Selling Stockholder will enter into with the underwriters at the time of the sale to them. The underwriters will be obligated to purchase all of the Shares offered if any of the Shares are purchased, unless otherwise specified in connection with any particular offering of Shares. Any initial offering price and any discounts or concessions allowed,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designate agents to sell the Shares. Unless otherwise specified in connection with any particular offering of Shares, the agents will agree to use their best efforts to solicit purchases for the period of their appointment. The Selling Stockholder may also sell the Shares to one or more remarketing firms, acting as principals for their own accounts or as agents for the Selling Stockholder. These firms will remarket the Shares upon purchasing them in accordance with a redemption or repayment pursuant to the terms of the Shares. A prospectus supplement or any pricing supplement, as the case may be, will identify any remarketing firm and will describe the terms of its agreement, if any, with the Selling Stockholder and its compensation.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offerings made through underwriters or agents, the Selling Stockholder may enter into agreements with such underwriters or agents pursuant to which the Selling Stockholder receives our outstanding securities in consideration for the Shares being offered to the public for cash. In connection with these arrangements, the underwriters or agents may also sell Shares covered by this prospectus to hedge their positions in these outstanding securities, including in short sale transactions. If so, the underwriters or agents may use the Shares received from the Selling Stockholder under these arrangements to close out any related open borrowings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Broker-dealers engaged by the Selling Stockholder may arrange for other broker-dealers to participate in sales. If the Selling Stockholder effects certain transactions by selling Shares to or through underwriters, broker-dealers or agents, such underwriters, broker-dealers or agents may receive commissions in the form of discounts,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concessions or commissions from the Selling Stockholder or commissions from purchasers of the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applicable rules of the Financial Industry Regulatory Authority, Inc. (FINRA); and in the case of a principal transaction, a markup or markdown in compliance with applicable FINRA rules.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 from the sale of the Shares offered by it will be the purchase price of the Shares less the Warrant exercise price and discounts or commissions, if any. The Selling Stockholder reserves the right to accept and, together with its agents from time to time, to reject, in whole or in part, any proposed purchase of Shares to be made directly or through agents. The Selling Stockholder also may resell all or a portion of the Shares in open market transactions in reliance upon Rule 144 under the Securities Act, rather than under this prospectus, provided that it meets the criteria and conforms to the requirements of that rule.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pursuant to Rule 424(b) under the Securities Act, the Shares to be sold, the name of the Selling Stockholder, the purchase price and public offering price and the net proceeds to be received by the Selling Stockholder from the sale, the names of any agents, dealer or underwriter and the amount of Shares underwritten or purchased by each of them, if any, any applicable commissions or discounts with respect to a particular offer, any delayed delivery arrangements and any securities exchange or markets on which the Shares may be listed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authorize agents, dealers or underwriters to solicit certain institutional investors to purchase Shares on a delayed delivery basis pursuant to delayed delivery contracts providing for payment and delivery on a specified future date.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will enter into such delayed contracts only with institutional purchasers that it approves. These institutions may include commercial and savings banks, insurance companies, pension funds, investment companies and educational and charitable institutions.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Shares may be sold in these jurisdictions only through registered or licensed brokers or dealers. In addition, in some states the Shares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the Selling Stockholder in the ordinary course of business. This includes commercial banking and investment banking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and any other person participating in a sale of the Shares registered under this prospectus will be subject to applicable provisions of the Exchange Act, and the rules and regulations thereunder, including, without limitation, to the extent applicable, Regulation M of the Exchange Act, which may limit the timing of purchases and sales of any of the Shares by the Selling Stockholder and any other participating person. All of the foregoing may affect the marketability of the Shares and the ability of any person or entity to engage in market-making activities with respect to the Shares. In addition,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any offering of Shares, the underwriters may purchase and sell shares of our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480" w:after="0"/>
        <w:jc w:val="center"/>
        <w:rPr>
          <w:rFonts w:ascii="Times New Roman" w:hAnsi="Times New Roman"/>
          <w:b/>
          <w:sz w:val="20"/>
        </w:rPr>
      </w:pPr>
      <w:bookmarkStart w:id="11" w:name="rom79970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offered by this prospectus will be passed upon for us by Covington &amp; Burling LLP, Washington, D.C. </w:t>
      </w:r>
    </w:p>
    <w:p>
      <w:pPr>
        <w:pStyle w:val="TextBody"/>
        <w:bidi w:val="0"/>
        <w:spacing w:before="480" w:after="0"/>
        <w:jc w:val="center"/>
        <w:rPr>
          <w:rFonts w:ascii="Times New Roman" w:hAnsi="Times New Roman"/>
          <w:b/>
          <w:sz w:val="20"/>
        </w:rPr>
      </w:pPr>
      <w:bookmarkStart w:id="12" w:name="rom79970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2024 have been so incorporated in reliance on the report of PricewaterhouseCoopers LLP,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3" w:name="rom79970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other reports, proxy and information statements and other information with the SEC. Our SEC filings are available to the public on the SECs website, </w:t>
      </w:r>
      <w:r>
        <w:rPr>
          <w:rFonts w:ascii="Times New Roman" w:hAnsi="Times New Roman"/>
          <w:i/>
          <w:sz w:val="20"/>
        </w:rPr>
        <w:t>www.sec.gov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SEC allows us to incorporate by reference into this prospectus the information contained in documents that we file with it, which means that we can disclose important information to you by referring you to those documents. The information incorporated by reference is an important part of this prospectus, and information that we subsequently file with the SEC will automatically update and supersede this information. The following documents that we previously filed with the SEC (File No. 001-37553) are incorporated by reference 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 for the year ended December 31, 2024</w:t>
              </w:r>
            </w:hyperlink>
            <w:r>
              <w:rPr>
                <w:rFonts w:ascii="Times New Roman" w:hAnsi="Times New Roman"/>
                <w:sz w:val="20"/>
              </w:rPr>
              <w:t xml:space="preserve">, filed with the SEC on March 13,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4">
              <w:r>
                <w:rPr>
                  <w:rStyle w:val="InternetLink"/>
                  <w:rFonts w:ascii="Times New Roman" w:hAnsi="Times New Roman"/>
                  <w:sz w:val="20"/>
                </w:rPr>
                <w:t>Quarterly Report on Form 10-Q for the quarter ended March 31, 2025</w:t>
              </w:r>
            </w:hyperlink>
            <w:r>
              <w:rPr>
                <w:rFonts w:ascii="Times New Roman" w:hAnsi="Times New Roman"/>
                <w:sz w:val="20"/>
              </w:rPr>
              <w:t xml:space="preserve">, filed with the SEC on May 12,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January  14, 2025</w:t>
              </w:r>
            </w:hyperlink>
            <w:r>
              <w:rPr>
                <w:rFonts w:ascii="Times New Roman" w:hAnsi="Times New Roman"/>
                <w:sz w:val="20"/>
              </w:rPr>
              <w:t xml:space="preserve"> (Item 1.01 only), </w:t>
            </w:r>
            <w:hyperlink r:id="rId6">
              <w:r>
                <w:rPr>
                  <w:rStyle w:val="InternetLink"/>
                  <w:rFonts w:ascii="Times New Roman" w:hAnsi="Times New Roman"/>
                  <w:sz w:val="20"/>
                </w:rPr>
                <w:t>March  4, 2025</w:t>
              </w:r>
            </w:hyperlink>
            <w:r>
              <w:rPr>
                <w:rFonts w:ascii="Times New Roman" w:hAnsi="Times New Roman"/>
                <w:sz w:val="20"/>
              </w:rPr>
              <w:t xml:space="preserve"> (Item 8.01 only), </w:t>
            </w:r>
            <w:hyperlink r:id="rId7">
              <w:r>
                <w:rPr>
                  <w:rStyle w:val="InternetLink"/>
                  <w:rFonts w:ascii="Times New Roman" w:hAnsi="Times New Roman"/>
                  <w:sz w:val="20"/>
                </w:rPr>
                <w:t>May  19, 2025</w:t>
              </w:r>
            </w:hyperlink>
            <w:r>
              <w:rPr>
                <w:rFonts w:ascii="Times New Roman" w:hAnsi="Times New Roman"/>
                <w:sz w:val="20"/>
              </w:rPr>
              <w:t xml:space="preserve"> (Items 1.01 and 2.03 only), and </w:t>
            </w:r>
            <w:hyperlink r:id="rId8">
              <w:r>
                <w:rPr>
                  <w:rStyle w:val="InternetLink"/>
                  <w:rFonts w:ascii="Times New Roman" w:hAnsi="Times New Roman"/>
                  <w:sz w:val="20"/>
                </w:rPr>
                <w:t>June 3,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set forth in </w:t>
            </w:r>
            <w:hyperlink r:id="rId9">
              <w:r>
                <w:rPr>
                  <w:rStyle w:val="InternetLink"/>
                  <w:rFonts w:ascii="Times New Roman" w:hAnsi="Times New Roman"/>
                  <w:sz w:val="20"/>
                </w:rPr>
                <w:t>Exhibit 4.2</w:t>
              </w:r>
            </w:hyperlink>
            <w:r>
              <w:rPr>
                <w:rFonts w:ascii="Times New Roman" w:hAnsi="Times New Roman"/>
                <w:sz w:val="20"/>
              </w:rPr>
              <w:t xml:space="preserve"> to our Annual Report on Form 10-K for the year ended December 31, 2024, filed with the SEC on March 13, 2025, and all amendments and reports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that we subsequently file pursuant to Section 13(a), 13(c), 14 or 15(d) of the Exchange Act prior to the completion of the sales of the securities offered hereby, but excluding any information furnished to, rather than filed with, the SEC (unless expressly incorporated by reference herein), will also be incorporated by reference into this prospectus and deemed to be part of this prospectus from the time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may contain information that updates, modifies or is contrary to information herein or in one or more of the documents incorporated by reference in this prospectus. We have not authorized anyone else to provide you with different or additional information. You should not assume that the information in this prospectus is accurate as of any date other than the date of this prospectus or the date of the documents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We make available, free of charge, through our website at </w:t>
      </w:r>
      <w:r>
        <w:rPr>
          <w:rFonts w:ascii="Times New Roman" w:hAnsi="Times New Roman"/>
          <w:i/>
          <w:sz w:val="20"/>
        </w:rPr>
        <w:t>www.regenxbio.com</w:t>
      </w:r>
      <w:r>
        <w:rPr>
          <w:rFonts w:ascii="Times New Roman" w:hAnsi="Times New Roman"/>
          <w:sz w:val="20"/>
        </w:rPr>
        <w:t xml:space="preserve"> our Annual Reports on Form 10-K, Quarterly Reports on Form 10-Q, Current Reports on Form 8-K and proxy and information statements, including any applicable amendments, filed or furnished pursuant to Section 13(a), 13(c), 14 or 15(d) of the Exchange Act as soon as reasonably practicable after we electronically file such material with, or furnish it to, the SEC. Information on, or that can be accessed through, our website is not incorporated into this prospectus or other securities filings and is not a part of these filings. You may also obtain, free of charge, a copy of any of these documents (other than exhibits to these documents unless the exhibits are specifically incorporated by reference into these documents or referred to in this prospectus) by writing or calling us at: </w:t>
      </w:r>
    </w:p>
    <w:p>
      <w:pPr>
        <w:pStyle w:val="TextBody"/>
        <w:bidi w:val="0"/>
        <w:spacing w:before="240" w:after="0"/>
        <w:jc w:val="center"/>
        <w:rPr>
          <w:rFonts w:ascii="Times New Roman" w:hAnsi="Times New Roman"/>
          <w:sz w:val="20"/>
        </w:rPr>
      </w:pPr>
      <w:r>
        <w:rPr>
          <w:rFonts w:ascii="Times New Roman" w:hAnsi="Times New Roman"/>
          <w:sz w:val="20"/>
        </w:rPr>
        <w:t xml:space="preserve">REGENXBIO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center"/>
        <w:rPr>
          <w:rFonts w:ascii="Times New Roman" w:hAnsi="Times New Roman"/>
          <w:sz w:val="20"/>
        </w:rPr>
      </w:pPr>
      <w:r>
        <w:rPr>
          <w:rFonts w:ascii="Times New Roman" w:hAnsi="Times New Roman"/>
          <w:sz w:val="20"/>
        </w:rPr>
        <w:t xml:space="preserve">9804 Medical Center Drive </w:t>
      </w:r>
    </w:p>
    <w:p>
      <w:pPr>
        <w:pStyle w:val="TextBody"/>
        <w:bidi w:val="0"/>
        <w:spacing w:before="0" w:after="0"/>
        <w:jc w:val="center"/>
        <w:rPr>
          <w:rFonts w:ascii="Times New Roman" w:hAnsi="Times New Roman"/>
          <w:sz w:val="20"/>
        </w:rPr>
      </w:pPr>
      <w:r>
        <w:rPr>
          <w:rFonts w:ascii="Times New Roman" w:hAnsi="Times New Roman"/>
          <w:sz w:val="20"/>
        </w:rPr>
        <w:t xml:space="preserve">Rockville, MD 20850 </w:t>
      </w:r>
    </w:p>
    <w:p>
      <w:pPr>
        <w:pStyle w:val="TextBody"/>
        <w:bidi w:val="0"/>
        <w:spacing w:before="0" w:after="0"/>
        <w:jc w:val="center"/>
        <w:rPr>
          <w:rFonts w:ascii="Times New Roman" w:hAnsi="Times New Roman"/>
          <w:sz w:val="20"/>
        </w:rPr>
      </w:pPr>
      <w:r>
        <w:rPr>
          <w:rFonts w:ascii="Times New Roman" w:hAnsi="Times New Roman"/>
          <w:sz w:val="20"/>
        </w:rPr>
        <w:t xml:space="preserve">(240) 552-8181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00980" cy="9226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5300980" cy="92265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Up to 268,096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300" w:after="0"/>
        <w:jc w:val="center"/>
        <w:rPr>
          <w:rFonts w:ascii="Times New Roman" w:hAnsi="Times New Roman"/>
          <w:b/>
          <w:sz w:val="20"/>
        </w:rPr>
      </w:pPr>
      <w:r>
        <w:rPr>
          <w:rFonts w:ascii="Times New Roman" w:hAnsi="Times New Roman"/>
          <w:b/>
          <w:sz w:val="20"/>
        </w:rPr>
        <w:t xml:space="preserve">June 25, 2025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590877/000095017025038770/rgnx-20241231.htm" TargetMode="External"/><Relationship Id="rId4" Type="http://schemas.openxmlformats.org/officeDocument/2006/relationships/hyperlink" Target="http://www.sec.gov/Archives/edgar/data/../../../ix?doc=/Archives/edgar/data/1590877/000095017025069237/rgnx-20250331.htm" TargetMode="External"/><Relationship Id="rId5" Type="http://schemas.openxmlformats.org/officeDocument/2006/relationships/hyperlink" Target="http://www.sec.gov/Archives/edgar/data/../../../ix?doc=/Archives/edgar/data/0001590877/000119312525005659/d868307d8k.htm" TargetMode="External"/><Relationship Id="rId6" Type="http://schemas.openxmlformats.org/officeDocument/2006/relationships/hyperlink" Target="http://www.sec.gov/Archives/edgar/data/../../../ix?doc=/Archives/edgar/data/0001590877/000119312525045585/d909911d8k.htm" TargetMode="External"/><Relationship Id="rId7" Type="http://schemas.openxmlformats.org/officeDocument/2006/relationships/hyperlink" Target="http://www.sec.gov/Archives/edgar/data/../../../ix?doc=/Archives/edgar/data/0001590877/000119312525122456/d31892d8k.htm" TargetMode="External"/><Relationship Id="rId8" Type="http://schemas.openxmlformats.org/officeDocument/2006/relationships/hyperlink" Target="http://www.sec.gov/Archives/edgar/data/../../../ix?doc=/Archives/edgar/data/0001590877/000095017025080986/rgnx-20250530.htm" TargetMode="External"/><Relationship Id="rId9" Type="http://schemas.openxmlformats.org/officeDocument/2006/relationships/hyperlink" Target="http://www.sec.gov/Archives/edgar/data/1590877/000095017025038770/rgnx-ex4_2.htm" TargetMode="External"/><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9101</Words>
  <Characters>47934</Characters>
  <CharactersWithSpaces>57045</CharactersWithSpaces>
  <Paragraphs>563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