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REGENXBIO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75901B107</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4" w:type="dxa"/>
        <w:jc w:val="left"/>
        <w:tblInd w:w="0" w:type="dxa"/>
        <w:tblLayout w:type="fixed"/>
        <w:tblCellMar>
          <w:top w:w="28" w:type="dxa"/>
          <w:left w:w="28" w:type="dxa"/>
          <w:bottom w:w="28" w:type="dxa"/>
          <w:right w:w="28" w:type="dxa"/>
        </w:tblCellMar>
      </w:tblPr>
      <w:tblGrid>
        <w:gridCol w:w="1276"/>
        <w:gridCol w:w="3828"/>
      </w:tblGrid>
      <w:tr>
        <w:trPr/>
        <w:tc>
          <w:tcPr>
            <w:tcW w:w="1276" w:type="dxa"/>
            <w:tcBorders/>
            <w:vAlign w:val="center"/>
          </w:tcPr>
          <w:p>
            <w:pPr>
              <w:pStyle w:val="TableContents"/>
              <w:bidi w:val="0"/>
              <w:spacing w:before="0" w:after="283"/>
              <w:jc w:val="left"/>
              <w:rPr>
                <w:b/>
              </w:rPr>
            </w:pPr>
            <w:r>
              <w:rPr>
                <w:b/>
              </w:rPr>
              <w:t>CUSIP No.</w:t>
            </w:r>
          </w:p>
        </w:tc>
        <w:tc>
          <w:tcPr>
            <w:tcW w:w="3828" w:type="dxa"/>
            <w:tcBorders/>
            <w:vAlign w:val="center"/>
          </w:tcPr>
          <w:p>
            <w:pPr>
              <w:pStyle w:val="TableContents"/>
              <w:bidi w:val="0"/>
              <w:spacing w:before="0" w:after="0"/>
              <w:jc w:val="left"/>
              <w:rPr/>
            </w:pPr>
            <w:r>
              <w:rPr/>
              <w:t>75901B107</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Redmile Group,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5,062,477.00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5,062,477.00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5,062,477.00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Redmile Group, LLC's beneficial ownership of the Issuer's common stock ("Common Stock") is comprised of 4,775,717 shares of Common Stock owned by certain private investment vehicles managed by Redmile Group, LLC (the "Redmile Clients"), including Redmile Biopharma Investments III, L.P. ("RBI III"). Subject to the Beneficial Ownership Blocker (as defined below), Redmile Group, LLC may also be deemed to beneficially own 1,125,440 shares of Common Stock issuable upon exercise of certain pre-funded warrants to purchase Common Stock (the "Warrants"). Pursuant to the terms of the Warrants, the Issuer may not effect any exercise of the Warrant, and a holder of a Warrant does not have the right to exercise the Warrant held by such holder, to the extent that after giving effect to such issuance after exercise, the holder (together with the holder's affiliates, and any other persons acting as a group together with the holder or any of the holder's affiliates), would beneficially own in excess of 9.99% (the "Beneficial Ownership Limitation") of the number of shares of Common Stock outstanding immediately after giving effect to the issuance of shares of Common Stock issued upon exercise of the Warrant (the "Beneficial Ownership Blocker"). The Beneficial Ownership Limitation may be changed at a holder's election upon 61 days' notice to the Issuer. The 5,062,477 shares of Common Stock reported as beneficially owned by Redmile Group, LLC in this Schedule 13G represent 9.99% of the outstanding shares of Common Stock (calculated in accordance with the footnote below), which includes 286,760 shares of Common Stock that could be issued upon exercise of certain of the Warrants under the Beneficial Ownership Blocker. The reported securities may be deemed beneficially owned by Redmile Group, LLC as investment manager of the Redmile Clients. The reported securities may also be deemed beneficially owned by Jeremy C. Green as the principal of Redmile Group, LLC. Redmile Group, LLC and Mr. Green each disclaim beneficial ownership of these shares, except to the extent of its or his pecuniary interest in such shares, if any. Percentage based on: (i) 50,388,693 shares of Common Stock outstanding as of June 9, 2025, as reported by the Issuer in its Prospectus dated June 25, 2025 filed with the SEC pursuant to Rule 424(b)(3) under the Securities Act of 1933 on June 25, 2025 (the "Prospectus"); plus (ii) 286,760 shares of Common Stock issuable upon exercise of the Warrants, which due to the Beneficial Ownership Limitation is the maximum number of shares that could be issued upon exercise of the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4" w:type="dxa"/>
        <w:jc w:val="left"/>
        <w:tblInd w:w="0" w:type="dxa"/>
        <w:tblLayout w:type="fixed"/>
        <w:tblCellMar>
          <w:top w:w="28" w:type="dxa"/>
          <w:left w:w="28" w:type="dxa"/>
          <w:bottom w:w="28" w:type="dxa"/>
          <w:right w:w="28" w:type="dxa"/>
        </w:tblCellMar>
      </w:tblPr>
      <w:tblGrid>
        <w:gridCol w:w="1276"/>
        <w:gridCol w:w="3828"/>
      </w:tblGrid>
      <w:tr>
        <w:trPr/>
        <w:tc>
          <w:tcPr>
            <w:tcW w:w="1276" w:type="dxa"/>
            <w:tcBorders/>
            <w:vAlign w:val="center"/>
          </w:tcPr>
          <w:p>
            <w:pPr>
              <w:pStyle w:val="TableContents"/>
              <w:bidi w:val="0"/>
              <w:spacing w:before="0" w:after="283"/>
              <w:jc w:val="left"/>
              <w:rPr>
                <w:b/>
              </w:rPr>
            </w:pPr>
            <w:r>
              <w:rPr>
                <w:b/>
              </w:rPr>
              <w:t>CUSIP No.</w:t>
            </w:r>
          </w:p>
        </w:tc>
        <w:tc>
          <w:tcPr>
            <w:tcW w:w="3828" w:type="dxa"/>
            <w:tcBorders/>
            <w:vAlign w:val="center"/>
          </w:tcPr>
          <w:p>
            <w:pPr>
              <w:pStyle w:val="TableContents"/>
              <w:bidi w:val="0"/>
              <w:spacing w:before="0" w:after="0"/>
              <w:jc w:val="left"/>
              <w:rPr/>
            </w:pPr>
            <w:r>
              <w:rPr/>
              <w:t>75901B107</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Jeremy C. Green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5,062,477.00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5,062,477.00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5,062,477.00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Jeremy C. Green's beneficial ownership of Common Stock is comprised of 4,775,717 shares of Common Stock owned by the Redmile Clients, including RBI III. Subject to the Beneficial Ownership Blocker, Mr. Green may also be deemed to beneficially own 1,125,440 shares of Common Stock issuable upon exercise of the Warrants. Pursuant to the terms of the Warrants, the Issuer may not effect any exercise of the Warrant, and a holder of a Warrant does not have the right to exercise the Warrant held by such holder, to the extent that the Beneficial Ownership Blocker applies. The 5,062,477 shares of Common Stock reported as beneficially owned by Mr. Green in this Schedule 13G represent 9.99% of the outstanding shares of Common Stock (calculated in accordance with the footnote below), which includes 286,760 shares of Common Stock that could be issued upon exercise of certain of the Warrants under the Beneficial Ownership Blocker. The reported securities may be deemed beneficially owned by Redmile Group, LLC as investment manager of the Redmile Clients. The reported securities may also be deemed beneficially owned by Jeremy C. Green as the principal of Redmile Group, LLC. Redmile Group, LLC and Mr. Green each disclaim beneficial ownership of these shares, except to the extent of its or his pecuniary interest in such shares, if any. Percentage based on: (i) 50,388,693 shares of Common Stock outstanding as of June 9, 2025, as reported by the Issuer in the Prospectus; plus (ii) 286,760 shares of Common Stock issuable upon exercise of the Warrants, which due to the Beneficial Ownership Limitation is the maximum number of shares that could be issued upon exercise of the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4" w:type="dxa"/>
        <w:jc w:val="left"/>
        <w:tblInd w:w="0" w:type="dxa"/>
        <w:tblLayout w:type="fixed"/>
        <w:tblCellMar>
          <w:top w:w="28" w:type="dxa"/>
          <w:left w:w="28" w:type="dxa"/>
          <w:bottom w:w="28" w:type="dxa"/>
          <w:right w:w="28" w:type="dxa"/>
        </w:tblCellMar>
      </w:tblPr>
      <w:tblGrid>
        <w:gridCol w:w="1276"/>
        <w:gridCol w:w="3828"/>
      </w:tblGrid>
      <w:tr>
        <w:trPr/>
        <w:tc>
          <w:tcPr>
            <w:tcW w:w="1276" w:type="dxa"/>
            <w:tcBorders/>
            <w:vAlign w:val="center"/>
          </w:tcPr>
          <w:p>
            <w:pPr>
              <w:pStyle w:val="TableContents"/>
              <w:bidi w:val="0"/>
              <w:spacing w:before="0" w:after="283"/>
              <w:jc w:val="left"/>
              <w:rPr>
                <w:b/>
              </w:rPr>
            </w:pPr>
            <w:r>
              <w:rPr>
                <w:b/>
              </w:rPr>
              <w:t>CUSIP No.</w:t>
            </w:r>
          </w:p>
        </w:tc>
        <w:tc>
          <w:tcPr>
            <w:tcW w:w="3828" w:type="dxa"/>
            <w:tcBorders/>
            <w:vAlign w:val="center"/>
          </w:tcPr>
          <w:p>
            <w:pPr>
              <w:pStyle w:val="TableContents"/>
              <w:bidi w:val="0"/>
              <w:spacing w:before="0" w:after="0"/>
              <w:jc w:val="left"/>
              <w:rPr/>
            </w:pPr>
            <w:r>
              <w:rPr/>
              <w:t>75901B107</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Redmile Biopharma Investments III,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3,733,796.00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3,733,796.00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3,733,796.00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RBI III's beneficial ownership of Common Stock is comprised of 3,447,036 shares of Common Stock directly held by RBI III. Subject to the Beneficial Ownership Blocker, RBI III may also be deemed to beneficially own 869,603 shares of Common Stock issuable upon exercise of the Warrants directly held by RBI III. Pursuant to the terms of the Warrants, the Issuer may not effect any exercise of any Warrant, and a holder of a Warrant does not have the right to exercise any portion of the Warrant held by such holder, if the Beneficial Ownership Blocker applies. The shares of Common Stock reported as beneficially owned by RBI III in this Schedule 13G represent the shares of Common Stock held directly by RBI III and the 286,760 shares of Common Stock that could be issued to RBI III upon exercise of certain of the Warrants directly held by RBI III under the Beneficial Ownership Blocker. Percentage based on: (i) 50,388,693 shares of Common Stock outstanding as of June 9, 2025, as reported by the Issuer in the Prospectus; plus (ii) 286,760 shares of Common Stock issuable upon exercise of the Warrants directly held by RBI III, which due to the Beneficial Ownership Limitation is the maximum number of shares that could be issued upon exercise of the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68"/>
        <w:gridCol w:w="8882"/>
        <w:gridCol w:w="155"/>
      </w:tblGrid>
      <w:tr>
        <w:trPr/>
        <w:tc>
          <w:tcPr>
            <w:tcW w:w="1168" w:type="dxa"/>
            <w:tcBorders/>
            <w:vAlign w:val="center"/>
          </w:tcPr>
          <w:p>
            <w:pPr>
              <w:pStyle w:val="TableContents"/>
              <w:bidi w:val="0"/>
              <w:spacing w:before="0" w:after="283"/>
              <w:jc w:val="left"/>
              <w:rPr/>
            </w:pPr>
            <w:r>
              <w:rPr/>
              <w:t>Item 1.</w:t>
            </w:r>
          </w:p>
        </w:tc>
        <w:tc>
          <w:tcPr>
            <w:tcW w:w="888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jc w:val="left"/>
              <w:rPr/>
            </w:pPr>
            <w:r>
              <w:rPr/>
              <w:t xml:space="preserve">Name of issuer: </w:t>
            </w:r>
          </w:p>
          <w:p>
            <w:pPr>
              <w:pStyle w:val="TableContents"/>
              <w:bidi w:val="0"/>
              <w:spacing w:before="0" w:after="0"/>
              <w:jc w:val="left"/>
              <w:rPr/>
            </w:pPr>
            <w:r>
              <w:rPr/>
              <w:t>REGENXBIO Inc.</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9804 Medical Center Drive, Rockville, MD, 20850</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2.</w:t>
            </w:r>
          </w:p>
        </w:tc>
        <w:tc>
          <w:tcPr>
            <w:tcW w:w="888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jc w:val="left"/>
              <w:rPr/>
            </w:pPr>
            <w:r>
              <w:rPr/>
              <w:t xml:space="preserve">Name of person filing: </w:t>
            </w:r>
          </w:p>
          <w:p>
            <w:pPr>
              <w:pStyle w:val="TableContents"/>
              <w:bidi w:val="0"/>
              <w:spacing w:before="0" w:after="0"/>
              <w:jc w:val="left"/>
              <w:rPr/>
            </w:pPr>
            <w:r>
              <w:rPr/>
              <w:t>Redmile Group, LLC Jeremy C. Green Redmile Biopharma Investments III, L.P.</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Redmile Group, LLC One Letterman Drive Building D, Suite D3-300 The Presidio of San Francisco San Francisco, California 94129 Jeremy C. Green c/o Redmile Group, LLC (NY Office) 45 W. 27th Street, Floor 11 New York, NY 10001 Redmile Biopharma Investments III, L.P. c/o Redmile Group, LLC One Letterman Drive Building D, Suite D3-300 The Presidio of San Francisco San Francisco, California 94129</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jc w:val="left"/>
              <w:rPr/>
            </w:pPr>
            <w:r>
              <w:rPr/>
              <w:t xml:space="preserve">Citizenship: </w:t>
            </w:r>
          </w:p>
          <w:p>
            <w:pPr>
              <w:pStyle w:val="TableContents"/>
              <w:bidi w:val="0"/>
              <w:spacing w:before="0" w:after="0"/>
              <w:jc w:val="left"/>
              <w:rPr/>
            </w:pPr>
            <w:r>
              <w:rPr/>
              <w:t>Redmile Group, LLC: Delaware Jeremy C. Green: United Kingdom Redmile Biopharma Investments III, L.P.: Delaware</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(d)</w:t>
            </w:r>
          </w:p>
        </w:tc>
        <w:tc>
          <w:tcPr>
            <w:tcW w:w="888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(e)</w:t>
            </w:r>
          </w:p>
        </w:tc>
        <w:tc>
          <w:tcPr>
            <w:tcW w:w="8882" w:type="dxa"/>
            <w:tcBorders/>
            <w:vAlign w:val="center"/>
          </w:tcPr>
          <w:p>
            <w:pPr>
              <w:pStyle w:val="TableContents"/>
              <w:bidi w:val="0"/>
              <w:jc w:val="left"/>
              <w:rPr/>
            </w:pPr>
            <w:r>
              <w:rPr/>
              <w:t xml:space="preserve">CUSIP No.: </w:t>
            </w:r>
          </w:p>
          <w:p>
            <w:pPr>
              <w:pStyle w:val="TableContents"/>
              <w:bidi w:val="0"/>
              <w:spacing w:before="0" w:after="0"/>
              <w:jc w:val="left"/>
              <w:rPr/>
            </w:pPr>
            <w:r>
              <w:rPr/>
              <w:t>75901B107</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3.</w:t>
            </w:r>
          </w:p>
        </w:tc>
        <w:tc>
          <w:tcPr>
            <w:tcW w:w="888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(d)</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(e)</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(f)</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(g)</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(h)</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(j)</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(k)</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9037" w:type="dxa"/>
            <w:gridSpan w:val="2"/>
            <w:tcBorders/>
            <w:vAlign w:val="center"/>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4.</w:t>
            </w:r>
          </w:p>
        </w:tc>
        <w:tc>
          <w:tcPr>
            <w:tcW w:w="888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Redmile Group, LLC - 5,062,477 (1) Jeremy C. Green - 5,062,477 (1) Redmile Biopharma Investments III, L.P. - 3,733,796 (2)</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Redmile Group, LLC - 9.9% (3) Jeremy C. Green - 9.9% (3) Redmile Biopharma Investments III, L.P. - 7.4% (3)  %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Redmile Group, LLC - 0 Jeremy C. Green - 0 Redmile Biopharma Investments III, L.P.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Redmile Group, LLC - 5,062,477 (1) Jeremy C. Green - 5,062,477 (1) Redmile Biopharma Investments III, L.P. - 3,733,796 (2)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Redmile Group, LLC - 0 Jeremy C. Green - 0 Redmile Biopharma Investments III, L.P.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Redmile Group, LLC - 5,062,477 (1) Jeremy C. Green - 5,062,477 (1) Redmile Biopharma Investments III, L.P. - 3,733,796 (2) (1) Redmile Group, LLC's and Jeremy C. Green's beneficial ownership of the Issuer's Common Stock is comprised of 4,775,717 shares of Common Stock owned by the Redmile Clients, including RBI III. Subject to the Beneficial Ownership Blocker, Redmile Group, LLC and Mr. Green may also be deemed to beneficially own 1,125,440 shares of Common Stock issuable upon exercise of the Warrants. Pursuant to the terms of the Warrants, the Issuer may not effect any exercise of any Warrant, and a holder of a Warrant does not have the right to exercise any portion of the Warrant held by such holder, if the Beneficial Ownership Blocker applies. The 5,062,477 shares of Common Stock reported as beneficially owned by Redmile Group, LLC and Mr. Green in this Schedule 13G represent 9.99% of the outstanding shares of Common Stock (calculated in accordance with footnote (3) below), which represent the shares of Common Stock held directly by the Redmile Clients and the 286,760 shares of Common Stock that could be issued upon exercise of certain of the Warrants under the Beneficial Ownership Blocker. The reported securities may be deemed beneficially owned by Redmile Group, LLC as investment manager of the Redmile Clients. The reported securities may also be deemed beneficially owned by Jeremy C. Green as the principal of Redmile Group, LLC. Redmile Group, LLC and Mr. Green each disclaim beneficial ownership of these shares, except to the extent of its or his pecuniary interest in such shares, if any. (2) RBI III's beneficial ownership of Common Stock is comprised of 3,447,036 shares of Common Stock. Subject to the Beneficial Ownership Blocker, RBI III may also be deemed to beneficially own 869,603 shares of Common Stock issuable upon exercise of the Warrants directly held by RBI III. Pursuant to the terms of the Warrants, the Issuer may not effect any exercise of any Warrant, and a holder of a Warrant does not have the right to exercise any portion of the Warrant held by such holder, if the Beneficial Ownership Blocker applies. The shares of Common Stock reported as beneficially owned by RBI III in this Schedule 13G represent the shares of Common Stock held directly by RBI III and the 286,760 shares of Common Stock that could be issued to RBI III upon exercise of certain of the Warrants directly held by RBI III under the Beneficial Ownership Blocker. (3) Percentage based on: (i) 50,388,693 shares of Common Stock outstanding as of June 9, 2025, as reported by the Issuer in the Prospectus; plus (ii) 286,760 shares of Common Stock issuable upon exercise of the Warrants, which due to the Beneficial Ownership Limitation is the maximum number of shares that could be issued upon exercise of the Warrants.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5.</w:t>
            </w:r>
          </w:p>
        </w:tc>
        <w:tc>
          <w:tcPr>
            <w:tcW w:w="888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6.</w:t>
            </w:r>
          </w:p>
        </w:tc>
        <w:tc>
          <w:tcPr>
            <w:tcW w:w="888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7.</w:t>
            </w:r>
          </w:p>
        </w:tc>
        <w:tc>
          <w:tcPr>
            <w:tcW w:w="888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the response to Item 4.</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8.</w:t>
            </w:r>
          </w:p>
        </w:tc>
        <w:tc>
          <w:tcPr>
            <w:tcW w:w="888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9.</w:t>
            </w:r>
          </w:p>
        </w:tc>
        <w:tc>
          <w:tcPr>
            <w:tcW w:w="888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Redmile Group, LLC</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Jeremy C. Green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750" w:type="dxa"/>
        <w:jc w:val="left"/>
        <w:tblInd w:w="0" w:type="dxa"/>
        <w:tblLayout w:type="fixed"/>
        <w:tblCellMar>
          <w:top w:w="28" w:type="dxa"/>
          <w:left w:w="28" w:type="dxa"/>
          <w:bottom w:w="28" w:type="dxa"/>
          <w:right w:w="28" w:type="dxa"/>
        </w:tblCellMar>
      </w:tblPr>
      <w:tblGrid>
        <w:gridCol w:w="1875"/>
        <w:gridCol w:w="1875"/>
      </w:tblGrid>
      <w:tr>
        <w:trPr/>
        <w:tc>
          <w:tcPr>
            <w:tcW w:w="1875" w:type="dxa"/>
            <w:tcBorders/>
            <w:vAlign w:val="center"/>
          </w:tcPr>
          <w:p>
            <w:pPr>
              <w:pStyle w:val="TableContents"/>
              <w:bidi w:val="0"/>
              <w:spacing w:before="0" w:after="0"/>
              <w:jc w:val="left"/>
              <w:rPr/>
            </w:pPr>
            <w:r>
              <w:rPr/>
              <w:t> </w:t>
            </w:r>
          </w:p>
          <w:tbl>
            <w:tblPr>
              <w:tblW w:w="1771" w:type="dxa"/>
              <w:jc w:val="left"/>
              <w:tblInd w:w="0" w:type="dxa"/>
              <w:tblLayout w:type="fixed"/>
              <w:tblCellMar>
                <w:top w:w="28" w:type="dxa"/>
                <w:left w:w="28" w:type="dxa"/>
                <w:bottom w:w="28" w:type="dxa"/>
                <w:right w:w="28" w:type="dxa"/>
              </w:tblCellMar>
            </w:tblPr>
            <w:tblGrid>
              <w:gridCol w:w="1771"/>
            </w:tblGrid>
            <w:tr>
              <w:trPr/>
              <w:tc>
                <w:tcPr>
                  <w:tcW w:w="1771" w:type="dxa"/>
                  <w:tcBorders/>
                  <w:vAlign w:val="center"/>
                </w:tcPr>
                <w:p>
                  <w:pPr>
                    <w:pStyle w:val="TableContents"/>
                    <w:bidi w:val="0"/>
                    <w:spacing w:before="0" w:after="0"/>
                    <w:jc w:val="left"/>
                    <w:rPr/>
                  </w:pPr>
                  <w:r>
                    <w:rPr/>
                    <w:t>Jeremy C. Green</w:t>
                  </w:r>
                </w:p>
              </w:tc>
            </w:tr>
          </w:tbl>
          <w:p>
            <w:pPr>
              <w:pStyle w:val="TableContents"/>
              <w:bidi w:val="0"/>
              <w:spacing w:before="0" w:after="283"/>
              <w:jc w:val="left"/>
              <w:rPr/>
            </w:pPr>
            <w:r>
              <w:rPr/>
            </w:r>
          </w:p>
        </w:tc>
        <w:tc>
          <w:tcPr>
            <w:tcW w:w="18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Jeremy C. Green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Jeremy C. Green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08/14/2025</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8472" w:type="dxa"/>
        <w:jc w:val="left"/>
        <w:tblInd w:w="0" w:type="dxa"/>
        <w:tblLayout w:type="fixed"/>
        <w:tblCellMar>
          <w:top w:w="28" w:type="dxa"/>
          <w:left w:w="28" w:type="dxa"/>
          <w:bottom w:w="28" w:type="dxa"/>
          <w:right w:w="28" w:type="dxa"/>
        </w:tblCellMar>
      </w:tblPr>
      <w:tblGrid>
        <w:gridCol w:w="4236"/>
        <w:gridCol w:w="4236"/>
      </w:tblGrid>
      <w:tr>
        <w:trPr/>
        <w:tc>
          <w:tcPr>
            <w:tcW w:w="4236" w:type="dxa"/>
            <w:tcBorders/>
            <w:vAlign w:val="center"/>
          </w:tcPr>
          <w:p>
            <w:pPr>
              <w:pStyle w:val="TableContents"/>
              <w:bidi w:val="0"/>
              <w:spacing w:before="0" w:after="0"/>
              <w:jc w:val="left"/>
              <w:rPr/>
            </w:pPr>
            <w:r>
              <w:rPr/>
              <w:t> </w:t>
            </w:r>
          </w:p>
          <w:tbl>
            <w:tblPr>
              <w:tblW w:w="4066" w:type="dxa"/>
              <w:jc w:val="left"/>
              <w:tblInd w:w="0" w:type="dxa"/>
              <w:tblLayout w:type="fixed"/>
              <w:tblCellMar>
                <w:top w:w="28" w:type="dxa"/>
                <w:left w:w="28" w:type="dxa"/>
                <w:bottom w:w="28" w:type="dxa"/>
                <w:right w:w="28" w:type="dxa"/>
              </w:tblCellMar>
            </w:tblPr>
            <w:tblGrid>
              <w:gridCol w:w="4066"/>
            </w:tblGrid>
            <w:tr>
              <w:trPr/>
              <w:tc>
                <w:tcPr>
                  <w:tcW w:w="4066" w:type="dxa"/>
                  <w:tcBorders/>
                  <w:vAlign w:val="center"/>
                </w:tcPr>
                <w:p>
                  <w:pPr>
                    <w:pStyle w:val="TableContents"/>
                    <w:bidi w:val="0"/>
                    <w:spacing w:before="0" w:after="0"/>
                    <w:jc w:val="left"/>
                    <w:rPr/>
                  </w:pPr>
                  <w:r>
                    <w:rPr/>
                    <w:t>Redmile Biopharma Investments III, L.P.</w:t>
                  </w:r>
                </w:p>
              </w:tc>
            </w:tr>
          </w:tbl>
          <w:p>
            <w:pPr>
              <w:pStyle w:val="TableContents"/>
              <w:bidi w:val="0"/>
              <w:spacing w:before="0" w:after="283"/>
              <w:jc w:val="left"/>
              <w:rPr/>
            </w:pPr>
            <w:r>
              <w:rPr/>
            </w:r>
          </w:p>
        </w:tc>
        <w:tc>
          <w:tcPr>
            <w:tcW w:w="4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0"/>
        <w:gridCol w:w="4275"/>
      </w:tblGrid>
      <w:tr>
        <w:trPr/>
        <w:tc>
          <w:tcPr>
            <w:tcW w:w="59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Jeremy C. Green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Managing Member of Redmile Biopharma Investments III (GP), LLC, general partner of Redmile Biopharma Investments III, L.P.</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08/14/2025</w:t>
                  </w:r>
                </w:p>
              </w:tc>
            </w:tr>
          </w:tbl>
          <w:p>
            <w:pPr>
              <w:pStyle w:val="TableContents"/>
              <w:bidi w:val="0"/>
              <w:spacing w:before="0" w:after="283"/>
              <w:jc w:val="left"/>
              <w:rPr/>
            </w:pPr>
            <w:r>
              <w:rPr/>
            </w:r>
          </w:p>
        </w:tc>
        <w:tc>
          <w:tcPr>
            <w:tcW w:w="42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2626</Words>
  <Characters>13442</Characters>
  <CharactersWithSpaces>16013</CharactersWithSpaces>
  <Paragraphs>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