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001-37553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552-8181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RGNX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June 29, 2026, REGENXBIO Inc. (the “Company”) announced that it has earned a milestone payment of $100.0 million from AbbVie Global Enterprises Ltd. (“AbbVie”), a subsidiary of AbbVie Inc., pursuant to the Collaboration and License Agreement, dated as of September 10, 2021 between the Company and AbbVie, as amended on August 5, 2025. The milestone payment relates to the dosing of the first patient in the Phase IIb/III trial of investigational surabgene lomparvovec (sura-vec, ABBV-RGX-314) in diabetic retinopathy using suprachoroidal delivery and is expected to be received in July 2026.</w:t>
      </w:r>
    </w:p>
    <w:p>
      <w:pPr>
        <w:spacing w:after="0" w:line="28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10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90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REGENXBIO Inc. Press Release dated June 29, 2026.</w:t>
            </w:r>
          </w:p>
        </w:tc>
        <w:tc>
          <w:tcPr>
            <w:tcW w:w="20" w:type="dxa"/>
            <w:vAlign w:val="bottom"/>
            <w:tcBorders>
              <w:top w:val="single" w:sz="8" w:color="auto"/>
              <w:bottom w:val="single" w:sz="8" w:color="0000EE"/>
            </w:tcBorders>
          </w:tcPr>
          <w:p>
            <w:pPr>
              <w:spacing w:after="0"/>
              <w:rPr>
                <w:sz w:val="14"/>
                <w:szCs w:val="14"/>
                <w:color w:val="auto"/>
              </w:rPr>
            </w:pPr>
          </w:p>
        </w:tc>
        <w:tc>
          <w:tcPr>
            <w:tcW w:w="6280" w:type="dxa"/>
            <w:vAlign w:val="bottom"/>
            <w:tcBorders>
              <w:top w:val="single" w:sz="8" w:color="auto"/>
            </w:tcBorders>
          </w:tcPr>
          <w:p>
            <w:pPr>
              <w:spacing w:after="0"/>
              <w:rPr>
                <w:sz w:val="14"/>
                <w:szCs w:val="14"/>
                <w:color w:val="auto"/>
              </w:rPr>
            </w:pPr>
          </w:p>
        </w:tc>
      </w:tr>
    </w:tbl>
    <w:p>
      <w:pPr>
        <w:spacing w:after="0" w:line="130" w:lineRule="exact"/>
        <w:rPr>
          <w:sz w:val="20"/>
          <w:szCs w:val="20"/>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J. Christmas II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Chief Strategy &amp;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81737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0" w:right="200" w:hanging="551"/>
        <w:spacing w:after="0" w:line="298" w:lineRule="auto"/>
        <w:rPr>
          <w:sz w:val="20"/>
          <w:szCs w:val="20"/>
          <w:color w:val="auto"/>
        </w:rPr>
      </w:pPr>
      <w:r>
        <w:rPr>
          <w:rFonts w:ascii="Arial" w:cs="Arial" w:eastAsia="Arial" w:hAnsi="Arial"/>
          <w:sz w:val="25"/>
          <w:szCs w:val="25"/>
          <w:b w:val="1"/>
          <w:bCs w:val="1"/>
          <w:color w:val="auto"/>
        </w:rPr>
        <w:t>REGENXBIO Announces First Patient Dosed in Phase IIb/III NAAVIGATE Trial of Surabgene Lomparvovec in Diabetic Retinopathy; Company to Receive $100 Million Milestone</w:t>
      </w:r>
    </w:p>
    <w:p>
      <w:pPr>
        <w:spacing w:after="0" w:line="99" w:lineRule="exact"/>
        <w:rPr>
          <w:sz w:val="20"/>
          <w:szCs w:val="20"/>
          <w:color w:val="auto"/>
        </w:rPr>
      </w:pPr>
    </w:p>
    <w:p>
      <w:pPr>
        <w:ind w:left="760" w:right="320" w:hanging="378"/>
        <w:spacing w:after="0" w:line="256"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New long-term data from diabetic retinopathy and wet AMD programs to be presented at American Society of Retina Specialists (ASRS) 2026</w:t>
      </w:r>
    </w:p>
    <w:p>
      <w:pPr>
        <w:spacing w:after="0" w:line="154"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b w:val="1"/>
          <w:bCs w:val="1"/>
          <w:color w:val="auto"/>
        </w:rPr>
        <w:t xml:space="preserve">ROCKVILLE, Md., </w:t>
      </w:r>
      <w:r>
        <w:rPr>
          <w:rFonts w:ascii="Arial" w:cs="Arial" w:eastAsia="Arial" w:hAnsi="Arial"/>
          <w:sz w:val="20"/>
          <w:szCs w:val="20"/>
          <w:color w:val="auto"/>
        </w:rPr>
        <w:t>June 29, 2026 – REGENXBIO Inc. (Nasdaq: RGNX) today announced the first patient has been dosed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Phase IIb/III NAAVIGATE clinical trial of investigational surabgene lomparvovec (sura-vec, ABBV-RGX-314) in diabetic retinopathy (DR) using suprachoroidal delivery. REGENXBIO will receive $100 million from AbbVie for this milestone.</w:t>
      </w:r>
    </w:p>
    <w:p>
      <w:pPr>
        <w:spacing w:after="0" w:line="170"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“Dosing the first patient in the Phase IIb/III study is a significant milestone in our commitment with AbbVie to bring a one-time gene therapy to patients who continue to face progressive and vision-threatening complications across multiple chronic retinal diseases,” said Steve Pakola, M.D., Chief Medical Officer, REGENXBIO. “We are excited to advance sura-vec for DR, following the two-year data that reinforced the durable and disease-modifying impact that sura-vec has the potential to deliver with a single administration. The opportunity to prevent disease progression before vision damage occurs is critical for this population, and we are collaborating closely with the investigators and AbbVie to progress this innovative treatment option.”</w:t>
      </w:r>
    </w:p>
    <w:p>
      <w:pPr>
        <w:spacing w:after="0" w:line="172"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“Diabetic retinopathy is a leading cause of vision loss among working adults, and the goal as a physician is always to prevent the disease from progressing and treat patients before they lose their vision. Current treatment options often require ongoing, repeated interventions, which can lead to undertreatment and progressive vision-threatening complications,” said Arshad Khanani, M.D., M.A., FASRS, Director of Clinical Research at Sierra Eye Associates, Reno, NV. “A one-time, in-office treatment has the potential to transform DR management by improving long-term outcomes while making earlier intervention both practical and scalable for patients worldwide.”</w:t>
      </w:r>
    </w:p>
    <w:p>
      <w:pPr>
        <w:spacing w:after="0" w:line="172" w:lineRule="exact"/>
        <w:rPr>
          <w:sz w:val="20"/>
          <w:szCs w:val="20"/>
          <w:color w:val="auto"/>
        </w:rPr>
      </w:pPr>
    </w:p>
    <w:p>
      <w:pPr>
        <w:ind w:right="180"/>
        <w:spacing w:after="0" w:line="224" w:lineRule="auto"/>
        <w:rPr>
          <w:sz w:val="20"/>
          <w:szCs w:val="20"/>
          <w:color w:val="auto"/>
        </w:rPr>
      </w:pPr>
      <w:r>
        <w:rPr>
          <w:rFonts w:ascii="Arial" w:cs="Arial" w:eastAsia="Arial" w:hAnsi="Arial"/>
          <w:sz w:val="20"/>
          <w:szCs w:val="20"/>
          <w:color w:val="auto"/>
        </w:rPr>
        <w:t>NAAVIGATE is a Phase IIb/III multicenter, randomized, masked, sham-controlled study to evaluate the safety and efficacy of sura-vec in subjects with non-proliferative DR (NPDR) without center-involved diabetic macular edema (CI-DME). Subjects will receive sura-vec at 1.0x10</w:t>
      </w:r>
      <w:r>
        <w:rPr>
          <w:rFonts w:ascii="Arial" w:cs="Arial" w:eastAsia="Arial" w:hAnsi="Arial"/>
          <w:sz w:val="26"/>
          <w:szCs w:val="26"/>
          <w:color w:val="auto"/>
          <w:vertAlign w:val="superscript"/>
        </w:rPr>
        <w:t>12</w:t>
      </w:r>
      <w:r>
        <w:rPr>
          <w:rFonts w:ascii="Arial" w:cs="Arial" w:eastAsia="Arial" w:hAnsi="Arial"/>
          <w:sz w:val="20"/>
          <w:szCs w:val="20"/>
          <w:color w:val="auto"/>
        </w:rPr>
        <w:t xml:space="preserve"> genome copies (GC)/eye, which was evaluated as dose level 3 in the Phase II ALTITUDE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trial of sura-vec, and short-course topical prophylactic steroids. The primary endpoint is </w:t>
      </w:r>
      <w:r>
        <w:rPr>
          <w:rFonts w:ascii="Arial" w:cs="Arial" w:eastAsia="Arial" w:hAnsi="Arial"/>
          <w:sz w:val="20"/>
          <w:szCs w:val="20"/>
          <w:u w:val="single" w:color="auto"/>
          <w:color w:val="auto"/>
        </w:rPr>
        <w:t>&gt;</w:t>
      </w:r>
      <w:r>
        <w:rPr>
          <w:rFonts w:ascii="Arial" w:cs="Arial" w:eastAsia="Arial" w:hAnsi="Arial"/>
          <w:sz w:val="20"/>
          <w:szCs w:val="20"/>
          <w:color w:val="auto"/>
        </w:rPr>
        <w:t xml:space="preserve"> 2-step improvement on the diabetic retinopathy severity scale (DRSS) at one year. The Phase IIb portion, operationalized by REGENXBIO, is expected to enroll approximately 135 participants in the United States.</w:t>
      </w:r>
    </w:p>
    <w:p>
      <w:pPr>
        <w:spacing w:after="0" w:line="173" w:lineRule="exact"/>
        <w:rPr>
          <w:sz w:val="20"/>
          <w:szCs w:val="20"/>
          <w:color w:val="auto"/>
        </w:rPr>
      </w:pPr>
    </w:p>
    <w:p>
      <w:pPr>
        <w:ind w:right="200"/>
        <w:spacing w:after="0" w:line="223" w:lineRule="auto"/>
        <w:rPr>
          <w:sz w:val="20"/>
          <w:szCs w:val="20"/>
          <w:color w:val="auto"/>
        </w:rPr>
      </w:pPr>
      <w:r>
        <w:rPr>
          <w:rFonts w:ascii="Arial" w:cs="Arial" w:eastAsia="Arial" w:hAnsi="Arial"/>
          <w:sz w:val="20"/>
          <w:szCs w:val="20"/>
          <w:color w:val="auto"/>
        </w:rPr>
        <w:t>REGENXBIO plans to present two and a half-year data from the long term follow up study of the ALTITUDE trial at the ASRS 44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Annual Meeting in July 2026. In two-year dose level 3 data from the ALTITUDE trial, sura-vec demonstrated a durable efficacy profile and was well tolerated with no intraocular inflammation observed (n=15), supporting the potential of an in-office gene therapy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223" w:lineRule="auto"/>
        <w:rPr>
          <w:sz w:val="20"/>
          <w:szCs w:val="20"/>
          <w:color w:val="auto"/>
        </w:rPr>
      </w:pPr>
      <w:r>
        <w:rPr>
          <w:rFonts w:ascii="Arial" w:cs="Arial" w:eastAsia="Arial" w:hAnsi="Arial"/>
          <w:sz w:val="20"/>
          <w:szCs w:val="20"/>
          <w:color w:val="auto"/>
        </w:rPr>
        <w:t>Five-year long-term follow-up data from the Phase I/IIa study of subretinal sura-vec for wet AMD will also be presented at ASRS. REGENXBIO expects to announce topline data with AbbVie from the ATMOSPHERE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ASCENT</w:t>
      </w:r>
      <w:r>
        <w:rPr>
          <w:rFonts w:ascii="Arial" w:cs="Arial" w:eastAsia="Arial" w:hAnsi="Arial"/>
          <w:sz w:val="26"/>
          <w:szCs w:val="26"/>
          <w:color w:val="auto"/>
          <w:vertAlign w:val="superscript"/>
        </w:rPr>
        <w:t>®</w:t>
      </w:r>
      <w:r>
        <w:rPr>
          <w:rFonts w:ascii="Arial" w:cs="Arial" w:eastAsia="Arial" w:hAnsi="Arial"/>
          <w:sz w:val="20"/>
          <w:szCs w:val="20"/>
          <w:color w:val="auto"/>
        </w:rPr>
        <w:t xml:space="preserve"> pivotal trials of sura-vec using subretinal delivery in Q4 2026.</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Surabgene Lomparvovec (sura-vec, ABBV-RGX-314)</w:t>
      </w:r>
    </w:p>
    <w:p>
      <w:pPr>
        <w:spacing w:after="0" w:line="6"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Sura-vec is a one-time investigational gene therapy designed to deliver sustained treatment effect in wet AMD, diabetic retinopathy and other chronic retinal conditions. Sura-vec uses the NAV</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AAV8 vector to encode an antibody fragment designed to inhibit vascular endothelial growth factor (VEGF). Sura-vec is believed to inhibit the VEGF pathway by which new, leaky blood vessels grow and contribute to the accumulation of fluid in the retina.</w:t>
      </w:r>
      <w:r>
        <w:rPr>
          <w:rFonts w:ascii="Arial" w:cs="Arial" w:eastAsia="Arial" w:hAnsi="Arial"/>
          <w:sz w:val="26"/>
          <w:szCs w:val="26"/>
          <w:color w:val="auto"/>
          <w:vertAlign w:val="superscript"/>
        </w:rPr>
        <w:t>1</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Diabetic Retinopathy</w:t>
      </w:r>
    </w:p>
    <w:p>
      <w:pPr>
        <w:spacing w:after="0" w:line="11" w:lineRule="exact"/>
        <w:rPr>
          <w:sz w:val="20"/>
          <w:szCs w:val="20"/>
          <w:color w:val="auto"/>
        </w:rPr>
      </w:pPr>
    </w:p>
    <w:p>
      <w:pPr>
        <w:ind w:right="100"/>
        <w:spacing w:after="0" w:line="213" w:lineRule="auto"/>
        <w:rPr>
          <w:sz w:val="20"/>
          <w:szCs w:val="20"/>
          <w:color w:val="auto"/>
        </w:rPr>
      </w:pPr>
      <w:r>
        <w:rPr>
          <w:rFonts w:ascii="Arial" w:cs="Arial" w:eastAsia="Arial" w:hAnsi="Arial"/>
          <w:sz w:val="19"/>
          <w:szCs w:val="19"/>
          <w:color w:val="auto"/>
        </w:rPr>
        <w:t>Diabetic retinopathy (DR) is the leading cause of vision loss in adults between 24 and 75 years of age worldwide.</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DR affects nearly 10 million people in the United States alone.</w:t>
      </w:r>
      <w:r>
        <w:rPr>
          <w:rFonts w:ascii="Arial" w:cs="Arial" w:eastAsia="Arial" w:hAnsi="Arial"/>
          <w:sz w:val="25"/>
          <w:szCs w:val="25"/>
          <w:color w:val="auto"/>
          <w:vertAlign w:val="superscript"/>
        </w:rPr>
        <w:t>3</w:t>
      </w:r>
      <w:r>
        <w:rPr>
          <w:rFonts w:ascii="Arial" w:cs="Arial" w:eastAsia="Arial" w:hAnsi="Arial"/>
          <w:sz w:val="19"/>
          <w:szCs w:val="19"/>
          <w:color w:val="auto"/>
        </w:rPr>
        <w:t xml:space="preserve"> The spectrum of DR severity ranges from non-proliferative diabetic retinopathy (NPDR) to proliferative diabetic retinopathy (PDR).</w:t>
      </w:r>
      <w:r>
        <w:rPr>
          <w:rFonts w:ascii="Arial" w:cs="Arial" w:eastAsia="Arial" w:hAnsi="Arial"/>
          <w:sz w:val="25"/>
          <w:szCs w:val="25"/>
          <w:color w:val="auto"/>
          <w:vertAlign w:val="superscript"/>
        </w:rPr>
        <w:t>4</w:t>
      </w:r>
      <w:r>
        <w:rPr>
          <w:rFonts w:ascii="Arial" w:cs="Arial" w:eastAsia="Arial" w:hAnsi="Arial"/>
          <w:sz w:val="19"/>
          <w:szCs w:val="19"/>
          <w:color w:val="auto"/>
        </w:rPr>
        <w:t xml:space="preserve"> As DR progresses, a large proportion of patients develop vision threatening complications, including diabetic macular edema (DME) and neovascularization that can lead to blindness.</w:t>
      </w:r>
      <w:r>
        <w:rPr>
          <w:rFonts w:ascii="Arial" w:cs="Arial" w:eastAsia="Arial" w:hAnsi="Arial"/>
          <w:sz w:val="25"/>
          <w:szCs w:val="25"/>
          <w:color w:val="auto"/>
          <w:vertAlign w:val="superscript"/>
        </w:rPr>
        <w:t>4</w:t>
      </w:r>
      <w:r>
        <w:rPr>
          <w:rFonts w:ascii="Arial" w:cs="Arial" w:eastAsia="Arial" w:hAnsi="Arial"/>
          <w:sz w:val="19"/>
          <w:szCs w:val="19"/>
          <w:color w:val="auto"/>
        </w:rPr>
        <w:t xml:space="preserve"> Current treatment options for patients with NPDR typically include "watchful waiting" or anti-VEGF treatment. For patients with PDR, current treatment options include anti-VEGF treatment or retinal laser; surgical treatment may be required for advanced PDR.</w:t>
      </w:r>
      <w:r>
        <w:rPr>
          <w:rFonts w:ascii="Arial" w:cs="Arial" w:eastAsia="Arial" w:hAnsi="Arial"/>
          <w:sz w:val="25"/>
          <w:szCs w:val="25"/>
          <w:color w:val="auto"/>
          <w:vertAlign w:val="superscript"/>
        </w:rPr>
        <w:t>2</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REGENXBIO Inc.</w:t>
      </w:r>
    </w:p>
    <w:p>
      <w:pPr>
        <w:spacing w:after="0" w:line="6"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color w:val="auto"/>
        </w:rP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surabgene lomparvovec (ABBV-RGX-314) for the treatment of wet AMD and diabetic retinopathy, in collaboration with AbbVie, and NAVSUNLI™ (clemidsogene lanparvovec-sngl, RGX-121) for the treatment of MPS II and RGX-111 for the treatment of MPS I, both in partnership with Nippon Shinyaku. Thousands of patients have been treated with REGENXBIO's AAV platform, including those receiving Novartis' 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REGENXBIO's investigational gene therapies have the potential to change the way healthcare is delivered for millions of people. For more information, please visit </w:t>
      </w:r>
      <w:r>
        <w:rPr>
          <w:rFonts w:ascii="Arial" w:cs="Arial" w:eastAsia="Arial" w:hAnsi="Arial"/>
          <w:sz w:val="20"/>
          <w:szCs w:val="20"/>
          <w:b w:val="1"/>
          <w:bCs w:val="1"/>
          <w:color w:val="0563C1"/>
        </w:rPr>
        <w:t>www.REGENXBIO.com</w:t>
      </w:r>
      <w:r>
        <w:rPr>
          <w:rFonts w:ascii="Arial" w:cs="Arial" w:eastAsia="Arial" w:hAnsi="Arial"/>
          <w:sz w:val="20"/>
          <w:szCs w:val="20"/>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320"/>
        <w:spacing w:after="0" w:line="230" w:lineRule="auto"/>
        <w:rPr>
          <w:sz w:val="20"/>
          <w:szCs w:val="20"/>
          <w:color w:val="auto"/>
        </w:rPr>
      </w:pPr>
      <w:r>
        <w:rPr>
          <w:rFonts w:ascii="Arial" w:cs="Arial" w:eastAsia="Arial" w:hAnsi="Arial"/>
          <w:sz w:val="20"/>
          <w:szCs w:val="20"/>
          <w:color w:val="auto"/>
        </w:rP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The forward-looking statements include statements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168846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interim results from analyses performed by REGENXBIO for an ongoing trial.</w:t>
      </w:r>
    </w:p>
    <w:p>
      <w:pPr>
        <w:ind w:left="120" w:hanging="112"/>
        <w:spacing w:after="0" w:line="223" w:lineRule="auto"/>
        <w:tabs>
          <w:tab w:leader="none" w:pos="1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Penn JS, Madan A, Caldwell RB, et al. Vascular endothelial growth factor in eye disease. </w:t>
      </w:r>
      <w:r>
        <w:rPr>
          <w:rFonts w:ascii="Times New Roman" w:cs="Times New Roman" w:eastAsia="Times New Roman" w:hAnsi="Times New Roman"/>
          <w:sz w:val="18"/>
          <w:szCs w:val="18"/>
          <w:i w:val="1"/>
          <w:iCs w:val="1"/>
          <w:color w:val="auto"/>
        </w:rPr>
        <w:t>Prog Retin Eye Res.</w:t>
      </w:r>
      <w:r>
        <w:rPr>
          <w:rFonts w:ascii="Times New Roman" w:cs="Times New Roman" w:eastAsia="Times New Roman" w:hAnsi="Times New Roman"/>
          <w:sz w:val="18"/>
          <w:szCs w:val="18"/>
          <w:color w:val="auto"/>
        </w:rPr>
        <w:t xml:space="preserve"> 2008;27(4):331-71.</w:t>
      </w:r>
    </w:p>
    <w:p>
      <w:pPr>
        <w:spacing w:after="0" w:line="15" w:lineRule="exact"/>
        <w:rPr>
          <w:rFonts w:ascii="Times New Roman" w:cs="Times New Roman" w:eastAsia="Times New Roman" w:hAnsi="Times New Roman"/>
          <w:sz w:val="24"/>
          <w:szCs w:val="24"/>
          <w:color w:val="auto"/>
          <w:vertAlign w:val="superscript"/>
        </w:rPr>
      </w:pPr>
    </w:p>
    <w:p>
      <w:pPr>
        <w:spacing w:after="0" w:line="199"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Cheung N, Mitchell P, Wong TY. Diabetic retinopathy. Lancet. 2010;376(9735):124–36.</w:t>
      </w:r>
    </w:p>
    <w:p>
      <w:pPr>
        <w:ind w:right="80"/>
        <w:spacing w:after="0" w:line="21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Lundeen EA, Burke-Conte Z, Rein DB, Wittenborn JS, Saaddine J, Lee AY, Flaxman AD. Prevalence of Diabetic Retinopathy in the US in 2021. JAMA Ophthalmology. 2023;141(8):747-754.</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Berrocal MD, Alexandra Acabá. Current Management of Diabetic Retinopathy,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line="227" w:lineRule="auto"/>
        <w:rPr>
          <w:sz w:val="20"/>
          <w:szCs w:val="20"/>
          <w:color w:val="auto"/>
        </w:rPr>
      </w:pPr>
      <w:r>
        <w:rPr>
          <w:rFonts w:ascii="Arial" w:cs="Arial" w:eastAsia="Arial" w:hAnsi="Arial"/>
          <w:sz w:val="20"/>
          <w:szCs w:val="20"/>
          <w:color w:val="auto"/>
        </w:rPr>
        <w:t xml:space="preserve">among other things, REGENXBIO's future operations and clinical trials, the timing, availability and interpretation of clinical data.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risks related to the FDA's review process, the timing of enrollment, commencement, completion and the success of clinical trials conducted by REGENXBIO, its licensees and its partners, the timing of any milestone payments, the timely development and launch of new products, the ability to obtain and maintain regulatory approval of product candidates,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2025, and comparable "risk factors" sections of REGENXBIO's Quarterly Reports on Form 10-Q and other filings, which have been filed with the SEC and are available on the SEC's website at </w:t>
      </w:r>
      <w:r>
        <w:rPr>
          <w:rFonts w:ascii="Arial" w:cs="Arial" w:eastAsia="Arial" w:hAnsi="Arial"/>
          <w:sz w:val="20"/>
          <w:szCs w:val="20"/>
          <w:b w:val="1"/>
          <w:bCs w:val="1"/>
          <w:u w:val="single" w:color="auto"/>
          <w:color w:val="0563C1"/>
        </w:rPr>
        <w:t>WWW.SEC.GOV</w:t>
      </w:r>
      <w:r>
        <w:rPr>
          <w:rFonts w:ascii="Arial" w:cs="Arial" w:eastAsia="Arial" w:hAnsi="Arial"/>
          <w:sz w:val="20"/>
          <w:szCs w:val="20"/>
          <w:color w:val="auto"/>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w:t>
      </w:r>
    </w:p>
    <w:p>
      <w:pPr>
        <w:spacing w:after="0" w:line="194" w:lineRule="exact"/>
        <w:rPr>
          <w:sz w:val="20"/>
          <w:szCs w:val="20"/>
          <w:color w:val="auto"/>
        </w:rPr>
      </w:pPr>
    </w:p>
    <w:p>
      <w:pPr>
        <w:ind w:right="520"/>
        <w:spacing w:after="0" w:line="217" w:lineRule="auto"/>
        <w:rPr>
          <w:sz w:val="20"/>
          <w:szCs w:val="20"/>
          <w:color w:val="auto"/>
        </w:rPr>
      </w:pPr>
      <w:r>
        <w:rPr>
          <w:rFonts w:ascii="Arial" w:cs="Arial" w:eastAsia="Arial" w:hAnsi="Arial"/>
          <w:sz w:val="20"/>
          <w:szCs w:val="20"/>
          <w:color w:val="auto"/>
        </w:rPr>
        <w:t>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registered trademark of Novartis AG. All other trademarks referenced herein are registered trademarks of REGENXBIO.</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Dana Cormack</w:t>
      </w:r>
    </w:p>
    <w:p>
      <w:pPr>
        <w:spacing w:after="0" w:line="226" w:lineRule="auto"/>
        <w:rPr>
          <w:sz w:val="20"/>
          <w:szCs w:val="20"/>
          <w:color w:val="auto"/>
        </w:rPr>
      </w:pPr>
      <w:r>
        <w:rPr>
          <w:rFonts w:ascii="Arial" w:cs="Arial" w:eastAsia="Arial" w:hAnsi="Arial"/>
          <w:sz w:val="20"/>
          <w:szCs w:val="20"/>
          <w:color w:val="auto"/>
        </w:rPr>
        <w:t>Corporate Communications</w:t>
      </w:r>
    </w:p>
    <w:p>
      <w:pPr>
        <w:spacing w:after="0"/>
        <w:rPr>
          <w:sz w:val="20"/>
          <w:szCs w:val="20"/>
          <w:color w:val="auto"/>
        </w:rPr>
      </w:pPr>
      <w:r>
        <w:rPr>
          <w:rFonts w:ascii="Arial" w:cs="Arial" w:eastAsia="Arial" w:hAnsi="Arial"/>
          <w:sz w:val="20"/>
          <w:szCs w:val="20"/>
          <w:color w:val="0563C1"/>
        </w:rPr>
        <w:t>dcormack@regenxbio.com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229" w:lineRule="auto"/>
        <w:rPr>
          <w:sz w:val="20"/>
          <w:szCs w:val="20"/>
          <w:color w:val="auto"/>
        </w:rPr>
      </w:pPr>
      <w:r>
        <w:rPr>
          <w:rFonts w:ascii="Arial" w:cs="Arial" w:eastAsia="Arial" w:hAnsi="Arial"/>
          <w:sz w:val="20"/>
          <w:szCs w:val="20"/>
          <w:color w:val="auto"/>
        </w:rPr>
        <w:t>George E. MacDougall</w:t>
      </w:r>
    </w:p>
    <w:p>
      <w:pPr>
        <w:spacing w:after="0" w:line="226" w:lineRule="auto"/>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color w:val="0563C1"/>
        </w:rPr>
        <w:t>IR@regenxbio.com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2026-06-29T06:16:49Z</dcterms:created>
  <dcterms:modified xsi:type="dcterms:W3CDTF">2026-06-29T06:16:49Z</dcterms:modified>
</cp:coreProperties>
</file>