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0931d8k.htm"/>
      <w:bookmarkStart w:id="1" w:name="ksd4093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16,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REGENXBIO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001-37553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47-1851754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9804 Medical Center Drive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Rockville, Maryland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20850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(240) 552-8181</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385" w:type="dxa"/>
        <w:jc w:val="left"/>
        <w:tblInd w:w="0" w:type="dxa"/>
        <w:tblLayout w:type="fixed"/>
        <w:tblCellMar>
          <w:top w:w="0" w:type="dxa"/>
          <w:left w:w="0" w:type="dxa"/>
          <w:bottom w:w="0" w:type="dxa"/>
          <w:right w:w="0" w:type="dxa"/>
        </w:tblCellMar>
      </w:tblPr>
      <w:tblGrid>
        <w:gridCol w:w="4265"/>
        <w:gridCol w:w="60"/>
        <w:gridCol w:w="740"/>
        <w:gridCol w:w="60"/>
        <w:gridCol w:w="326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RGNX</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16, 2026, REGENXBIO Inc. (the “Company”) entered into an underwriting agreement (the “Underwriting Agreement”) with Morgan Stanley &amp; Co. LLC, J.P. Morgan Securities LLC, Leerink Partners LLC and Mizuho Securities USA LLC, as representatives of the several underwriters named therein (collectively, the “Underwriters”), relating to the offer and sale of 10,003,889 shares (the “Firm Shares”) of the Company’s common stock, par value $0.0001 per share (the “Common Stock”), at a price to the public of $9.00 per share, and pre-funded warrants (the “Pre-funded Warrants”) to purchase 1,111,111 shares of Common Stock (the “Warrant Shares” and, together with the Shares (as defined below) and the Pre-funded Warrants, the “Securities”) at a price of $8.9999 per Pre-funded Warrant, which represents the public offering price per share less the $0.0001 per share exercise price of each Pre-funded Warrant. The Company also granted the Underwriters a 30-day option to purchase up to an additional 1,667,250 shares of Common Stock (the “Optional Shares” and, together with the Firm Shares, the “Shares”). </w:t>
      </w:r>
    </w:p>
    <w:p>
      <w:pPr>
        <w:pStyle w:val="TextBody"/>
        <w:bidi w:val="0"/>
        <w:spacing w:before="240" w:after="0"/>
        <w:jc w:val="left"/>
        <w:rPr>
          <w:rFonts w:ascii="Times New Roman" w:hAnsi="Times New Roman"/>
          <w:sz w:val="20"/>
        </w:rPr>
      </w:pPr>
      <w:r>
        <w:rPr>
          <w:rFonts w:ascii="Times New Roman" w:hAnsi="Times New Roman"/>
          <w:sz w:val="20"/>
        </w:rPr>
        <w:t xml:space="preserve">On July 17, 2026, the Underwriters exercised their option to purchase the Optional Shares in full. The net proceeds to the Company from the offering, including the proceeds from the exercise by the Underwriters of their option to purchase the Optional Shares, are expected to be approximately $107.8 million, after deducting underwriting discounts and commissions and estimated offering expenses. The offering is expected to close on July 20,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Pre-funded Warrants will have an exercise price of $0.0001 per share, which is subject to adjustment in the event of certain stock dividends, stock splits, stock combinations, reclassifications or similar events affecting our common stock and also upon any distributions of assets, including cash, stock or other property to our stockholders. The Pre-funded Warrants are exercisable at any time after their original issuance and do not expire. The Pre-funded Warrants will be exercisable, at the option of each holder, in whole or in part, by delivering to the Company a duly executed exercise notice and by payment in full of the exercise price in immediately available funds for the number of shares of Common Stock purchased upon such exercise. Except by virtue of a holder’s ownership of shares of our Common Stock, the holder of a Pre-funded Warrant does not have any rights or privileges of a holder of our Common Stock, including any voting rights, until such holder exercises the Pre-funded Warrant and receives the underlying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offering is being made pursuant to the Company’s effective shelf registration statement on Form S-3 (File No. 333- 291816), which was previously filed with the U.S.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and agreements by the Company, customary conditions to closing, indemnification obligations of the Company and the Underwriters, including for liabilities under the Securities Act of 1933, as amended,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The Underwriting Agreement is not intended to provide any other factual information about the Company.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 their affiliates have provided, and may in the future provide, various investment banking, commercial banking and other financial services for the Company and its affiliates for which they have received, and may in the future receive, customary fees.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is filed as Exhibit 1.1 hereto and is incorporated herein by reference. The form of Pre-funded Warrant is filed as Exhibit 4.1 hereto and is incorporated herein by reference. The foregoing descriptions of the terms of the Underwriting Agreement and Pre-funded Warrant are qualified in its entirety by reference to the Underwriting Agreement and form of Pre-funded Warrant, respectively. The legal opinion of Covington &amp; Burling LLP relating to the Securities being offered is filed herewith as Exhibit 5.1. </w:t>
      </w:r>
    </w:p>
    <w:p>
      <w:pPr>
        <w:pStyle w:val="TextBody"/>
        <w:bidi w:val="0"/>
        <w:spacing w:before="240" w:after="0"/>
        <w:jc w:val="left"/>
        <w:rPr>
          <w:rFonts w:ascii="Times New Roman" w:hAnsi="Times New Roman"/>
          <w:sz w:val="20"/>
        </w:rPr>
      </w:pPr>
      <w:r>
        <w:rPr>
          <w:rFonts w:ascii="Times New Roman" w:hAnsi="Times New Roman"/>
          <w:sz w:val="20"/>
        </w:rPr>
        <w:t xml:space="preserve">On July 17, 2026, the Company issued a press release announcing the pricing of the offering. A copy of the press release is attached as Exhibit 99.1 to this report and is incorporated by reference herein.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40931dex11.htm">
              <w:r>
                <w:rPr>
                  <w:rStyle w:val="InternetLink"/>
                </w:rPr>
                <w:t xml:space="preserve">Underwriting Agreement, dated July 16, 2026, among REGENXBIO Inc. and Morgan Stanley &amp; Co. LLC, J.P. Morgan Securities LLC, Leerink Partners LLC and Mizuho Securities USA LLC, as representatives of the Underwriters.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40931dex41.htm">
              <w:r>
                <w:rPr>
                  <w:rStyle w:val="InternetLink"/>
                </w:rPr>
                <w:t xml:space="preserve">Form of Pre-funded Warrant.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40931dex51.htm">
              <w:r>
                <w:rPr>
                  <w:rStyle w:val="InternetLink"/>
                </w:rPr>
                <w:t xml:space="preserve">Opinion of Covington &amp; Burling LLP.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40931dex51.htm">
              <w:r>
                <w:rPr>
                  <w:rStyle w:val="InternetLink"/>
                </w:rPr>
                <w:t xml:space="preserve">Consent of Covington &amp; Burling LLP (included as part of Exhibit 5.1).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40931dex991.htm">
              <w:r>
                <w:rPr>
                  <w:rStyle w:val="InternetLink"/>
                </w:rPr>
                <w:t xml:space="preserve">Press release dated July 17,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103" w:type="dxa"/>
        <w:jc w:val="left"/>
        <w:tblInd w:w="0" w:type="dxa"/>
        <w:tblLayout w:type="fixed"/>
        <w:tblCellMar>
          <w:top w:w="0" w:type="dxa"/>
          <w:left w:w="0" w:type="dxa"/>
          <w:bottom w:w="0" w:type="dxa"/>
          <w:right w:w="0" w:type="dxa"/>
        </w:tblCellMar>
      </w:tblPr>
      <w:tblGrid>
        <w:gridCol w:w="1895"/>
        <w:gridCol w:w="60"/>
        <w:gridCol w:w="23"/>
        <w:gridCol w:w="60"/>
        <w:gridCol w:w="365"/>
        <w:gridCol w:w="60"/>
        <w:gridCol w:w="464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4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b/>
              </w:rPr>
            </w:pPr>
            <w:r>
              <w:rPr>
                <w:b/>
              </w:rPr>
              <w:t>REGENXBIO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70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Patrick J. Christmas II</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Patrick J. Christmas II</w:t>
            </w:r>
          </w:p>
          <w:p>
            <w:pPr>
              <w:pStyle w:val="TableContents"/>
              <w:bidi w:val="0"/>
              <w:spacing w:before="0" w:after="20"/>
              <w:jc w:val="left"/>
              <w:rPr>
                <w:rFonts w:ascii="Times New Roman" w:hAnsi="Times New Roman"/>
                <w:sz w:val="20"/>
              </w:rPr>
            </w:pPr>
            <w:r>
              <w:rPr>
                <w:rFonts w:ascii="Times New Roman" w:hAnsi="Times New Roman"/>
                <w:sz w:val="20"/>
              </w:rPr>
              <w:t>Executive Vice President, Chief Strategy &amp; Legal Officer</w:t>
            </w:r>
          </w:p>
        </w:tc>
      </w:tr>
    </w:tbl>
    <w:p>
      <w:pPr>
        <w:pStyle w:val="TextBody"/>
        <w:bidi w:val="0"/>
        <w:spacing w:before="0" w:after="0"/>
        <w:jc w:val="right"/>
        <w:rPr>
          <w:rFonts w:ascii="Times New Roman" w:hAnsi="Times New Roman"/>
          <w:b/>
          <w:sz w:val="20"/>
        </w:rPr>
      </w:pPr>
      <w:bookmarkStart w:id="2" w:name="d40931dex11.htm"/>
      <w:bookmarkStart w:id="3" w:name="ksd40931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REGENXBIO INC. </w:t>
      </w:r>
    </w:p>
    <w:p>
      <w:pPr>
        <w:pStyle w:val="TextBody"/>
        <w:bidi w:val="0"/>
        <w:spacing w:before="240" w:after="0"/>
        <w:jc w:val="center"/>
        <w:rPr>
          <w:rFonts w:ascii="Times New Roman" w:hAnsi="Times New Roman"/>
          <w:b/>
          <w:sz w:val="20"/>
        </w:rPr>
      </w:pPr>
      <w:r>
        <w:rPr>
          <w:rFonts w:ascii="Times New Roman" w:hAnsi="Times New Roman"/>
          <w:b/>
          <w:sz w:val="20"/>
        </w:rPr>
        <w:t xml:space="preserve">10,003,889 SHARES OF COMMON STOCK (PAR VALUE $0.0001 PER SHARE)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PRE- FUNDED WARRANTS TO PURCHASE 1,111,111 SHARES OF COMMON STOCK </w:t>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July 16, 2026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July 16, 2026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Mizuho Securities USA LLC </w:t>
      </w:r>
    </w:p>
    <w:p>
      <w:pPr>
        <w:pStyle w:val="TextBody"/>
        <w:bidi w:val="0"/>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c/o 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240" w:after="0"/>
        <w:jc w:val="left"/>
        <w:rPr>
          <w:rFonts w:ascii="Times New Roman" w:hAnsi="Times New Roman"/>
          <w:sz w:val="20"/>
        </w:rPr>
      </w:pPr>
      <w:r>
        <w:rPr>
          <w:rFonts w:ascii="Times New Roman" w:hAnsi="Times New Roman"/>
          <w:sz w:val="20"/>
        </w:rPr>
        <w:t xml:space="preserve">c/o Mizuho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1271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 </w:t>
      </w:r>
    </w:p>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REGENXBIO Inc., a Delaware corporation (the “</w:t>
      </w:r>
      <w:r>
        <w:rPr>
          <w:rFonts w:ascii="Times New Roman" w:hAnsi="Times New Roman"/>
          <w:b/>
          <w:sz w:val="20"/>
        </w:rPr>
        <w:t>Company</w:t>
      </w:r>
      <w:r>
        <w:rPr>
          <w:rFonts w:ascii="Times New Roman" w:hAnsi="Times New Roman"/>
          <w:sz w:val="20"/>
        </w:rPr>
        <w:t>”), proposes to issue and sell to the several underwriters named in Schedule II hereto (the “</w:t>
      </w:r>
      <w:r>
        <w:rPr>
          <w:rFonts w:ascii="Times New Roman" w:hAnsi="Times New Roman"/>
          <w:b/>
          <w:sz w:val="20"/>
        </w:rPr>
        <w:t>Underwriters</w:t>
      </w:r>
      <w:r>
        <w:rPr>
          <w:rFonts w:ascii="Times New Roman" w:hAnsi="Times New Roman"/>
          <w:sz w:val="20"/>
        </w:rPr>
        <w:t>”), for whom you are acting as representatives (the “</w:t>
      </w:r>
      <w:r>
        <w:rPr>
          <w:rFonts w:ascii="Times New Roman" w:hAnsi="Times New Roman"/>
          <w:b/>
          <w:sz w:val="20"/>
        </w:rPr>
        <w:t>Representatives</w:t>
      </w:r>
      <w:r>
        <w:rPr>
          <w:rFonts w:ascii="Times New Roman" w:hAnsi="Times New Roman"/>
          <w:sz w:val="20"/>
        </w:rPr>
        <w:t>”), (i) the number of shares of its common stock, par value $0.0001 per share, set forth in Schedule I hereto (the “</w:t>
      </w:r>
      <w:r>
        <w:rPr>
          <w:rFonts w:ascii="Times New Roman" w:hAnsi="Times New Roman"/>
          <w:b/>
          <w:sz w:val="20"/>
        </w:rPr>
        <w:t>Firm Shares</w:t>
      </w:r>
      <w:r>
        <w:rPr>
          <w:rFonts w:ascii="Times New Roman" w:hAnsi="Times New Roman"/>
          <w:sz w:val="20"/>
        </w:rPr>
        <w:t>”) and (ii) the number of its pre-funded warrants to purchase shares of its common stock in a form to be mutually agreed by the Company and the Representatives, set forth in Schedule I (the “</w:t>
      </w:r>
      <w:r>
        <w:rPr>
          <w:rFonts w:ascii="Times New Roman" w:hAnsi="Times New Roman"/>
          <w:b/>
          <w:sz w:val="20"/>
        </w:rPr>
        <w:t>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also proposes to issue and sell to the several Underwriters not more than the number of additional shares of its common stock, par value $0.0001 per share, set forth in Schedule I hereto (the “</w:t>
      </w:r>
      <w:r>
        <w:rPr>
          <w:rFonts w:ascii="Times New Roman" w:hAnsi="Times New Roman"/>
          <w:b/>
          <w:sz w:val="20"/>
        </w:rPr>
        <w:t>Additional Shares</w:t>
      </w:r>
      <w:r>
        <w:rPr>
          <w:rFonts w:ascii="Times New Roman" w:hAnsi="Times New Roman"/>
          <w:sz w:val="20"/>
        </w:rPr>
        <w:t>”) if and to the extent that the Representatives, as managers of the offering,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Times New Roman" w:hAnsi="Times New Roman"/>
          <w:b/>
          <w:sz w:val="20"/>
        </w:rPr>
        <w:t>Shares</w:t>
      </w:r>
      <w:r>
        <w:rPr>
          <w:rFonts w:ascii="Times New Roman" w:hAnsi="Times New Roman"/>
          <w:sz w:val="20"/>
        </w:rPr>
        <w:t>.” The Shares and the Warrants are herein referred to as the “</w:t>
      </w:r>
      <w:r>
        <w:rPr>
          <w:rFonts w:ascii="Times New Roman" w:hAnsi="Times New Roman"/>
          <w:b/>
          <w:sz w:val="20"/>
        </w:rPr>
        <w:t>Securities</w:t>
      </w:r>
      <w:r>
        <w:rPr>
          <w:rFonts w:ascii="Times New Roman" w:hAnsi="Times New Roman"/>
          <w:sz w:val="20"/>
        </w:rPr>
        <w:t>.” The shares of common stock, par value $0.0001 per share, of the Company to be outstanding after giving effect to the sales contemplated hereby are hereinafter referred to as the “</w:t>
      </w:r>
      <w:r>
        <w:rPr>
          <w:rFonts w:ascii="Times New Roman" w:hAnsi="Times New Roman"/>
          <w:b/>
          <w:sz w:val="20"/>
        </w:rPr>
        <w:t>Common Stock</w:t>
      </w:r>
      <w:r>
        <w:rPr>
          <w:rFonts w:ascii="Times New Roman" w:hAnsi="Times New Roman"/>
          <w:sz w:val="20"/>
        </w:rPr>
        <w:t>.” The shares of Common Stock issuable upon the exercise of the Warrants are herein referred to as the “</w:t>
      </w:r>
      <w:r>
        <w:rPr>
          <w:rFonts w:ascii="Times New Roman" w:hAnsi="Times New Roman"/>
          <w:b/>
          <w:sz w:val="20"/>
        </w:rPr>
        <w:t>Warrant Shares</w:t>
      </w:r>
      <w:r>
        <w:rPr>
          <w:rFonts w:ascii="Times New Roman" w:hAnsi="Times New Roman"/>
          <w:sz w:val="20"/>
        </w:rPr>
        <w:t xml:space="preserve">.” If the firm or firms listed in Schedule II hereto include only the Representatives listed in Schedule I hereto, then the terms “Underwriters” and “Representatives” as used herein shall each be deemed to refer to such firm or firms.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has filed with the Securities and Exchange Commission (the “</w:t>
      </w:r>
      <w:r>
        <w:rPr>
          <w:rFonts w:ascii="Times New Roman" w:hAnsi="Times New Roman"/>
          <w:b/>
          <w:sz w:val="20"/>
        </w:rPr>
        <w:t>Commission</w:t>
      </w:r>
      <w:r>
        <w:rPr>
          <w:rFonts w:ascii="Times New Roman" w:hAnsi="Times New Roman"/>
          <w:sz w:val="20"/>
        </w:rPr>
        <w:t>”) a registration statement (File No. 333-291816), including a prospectus, on Form S-3, relating to the securities (the “</w:t>
      </w:r>
      <w:r>
        <w:rPr>
          <w:rFonts w:ascii="Times New Roman" w:hAnsi="Times New Roman"/>
          <w:b/>
          <w:sz w:val="20"/>
        </w:rPr>
        <w:t>Shelf Securities</w:t>
      </w:r>
      <w:r>
        <w:rPr>
          <w:rFonts w:ascii="Times New Roman" w:hAnsi="Times New Roman"/>
          <w:sz w:val="20"/>
        </w:rPr>
        <w:t>”), including the Shares, the Warrants and the Warrant Shares to be issued from time to time by the Company, which was declared effective by the Commission on December 12, 2025. The registration statement as amended to the date of this Agreement, including the information (if any) deemed to be part of the registration statement at the time of effectiveness pursuant to Rule 430A or Rule 430B under the Securities Act of 1933, as amended (the “</w:t>
      </w:r>
      <w:r>
        <w:rPr>
          <w:rFonts w:ascii="Times New Roman" w:hAnsi="Times New Roman"/>
          <w:b/>
          <w:sz w:val="20"/>
        </w:rPr>
        <w:t>Securities Act</w:t>
      </w:r>
      <w:r>
        <w:rPr>
          <w:rFonts w:ascii="Times New Roman" w:hAnsi="Times New Roman"/>
          <w:sz w:val="20"/>
        </w:rPr>
        <w:t>”), is hereinafter referred to as the “</w:t>
      </w:r>
      <w:r>
        <w:rPr>
          <w:rFonts w:ascii="Times New Roman" w:hAnsi="Times New Roman"/>
          <w:b/>
          <w:sz w:val="20"/>
        </w:rPr>
        <w:t>Registration Statement</w:t>
      </w:r>
      <w:r>
        <w:rPr>
          <w:rFonts w:ascii="Times New Roman" w:hAnsi="Times New Roman"/>
          <w:sz w:val="20"/>
        </w:rPr>
        <w:t>,” and the related prospectus covering the Shelf Securities dated December 12, 2025, is hereinafter referred to as the “</w:t>
      </w:r>
      <w:r>
        <w:rPr>
          <w:rFonts w:ascii="Times New Roman" w:hAnsi="Times New Roman"/>
          <w:b/>
          <w:sz w:val="20"/>
        </w:rPr>
        <w:t>Basic Prospectus</w:t>
      </w:r>
      <w:r>
        <w:rPr>
          <w:rFonts w:ascii="Times New Roman" w:hAnsi="Times New Roman"/>
          <w:sz w:val="20"/>
        </w:rPr>
        <w:t>.” The Basic Prospectus, as supplemented by the prospectus supplement specifically relating to the Shares in the form first used to confirm sales of the Shares (or in the form first made available to the Underwriters by the Company to meet requests of purchasers pursuant to Rule 173 under the Securities Act) is hereinafter referred to as the “</w:t>
      </w:r>
      <w:r>
        <w:rPr>
          <w:rFonts w:ascii="Times New Roman" w:hAnsi="Times New Roman"/>
          <w:b/>
          <w:sz w:val="20"/>
        </w:rPr>
        <w:t>Prospectus</w:t>
      </w:r>
      <w:r>
        <w:rPr>
          <w:rFonts w:ascii="Times New Roman" w:hAnsi="Times New Roman"/>
          <w:sz w:val="20"/>
        </w:rPr>
        <w:t>,” and the term “</w:t>
      </w:r>
      <w:r>
        <w:rPr>
          <w:rFonts w:ascii="Times New Roman" w:hAnsi="Times New Roman"/>
          <w:b/>
          <w:sz w:val="20"/>
        </w:rPr>
        <w:t>preliminary prospectus</w:t>
      </w:r>
      <w:r>
        <w:rPr>
          <w:rFonts w:ascii="Times New Roman" w:hAnsi="Times New Roman"/>
          <w:sz w:val="20"/>
        </w:rPr>
        <w:t xml:space="preserve">” means any preliminary form of the Prospectus. </w:t>
      </w:r>
    </w:p>
    <w:p>
      <w:pPr>
        <w:pStyle w:val="TextBody"/>
        <w:bidi w:val="0"/>
        <w:spacing w:before="240" w:after="0"/>
        <w:jc w:val="left"/>
        <w:rPr>
          <w:rFonts w:ascii="Times New Roman" w:hAnsi="Times New Roman"/>
          <w:sz w:val="20"/>
        </w:rPr>
      </w:pPr>
      <w:r>
        <w:rPr>
          <w:rFonts w:ascii="Times New Roman" w:hAnsi="Times New Roman"/>
          <w:sz w:val="20"/>
        </w:rPr>
        <w:t>For purposes of this Underwriting Agreement (this “</w:t>
      </w:r>
      <w:r>
        <w:rPr>
          <w:rFonts w:ascii="Times New Roman" w:hAnsi="Times New Roman"/>
          <w:b/>
          <w:sz w:val="20"/>
        </w:rPr>
        <w:t>Agreement</w:t>
      </w:r>
      <w:r>
        <w:rPr>
          <w:rFonts w:ascii="Times New Roman" w:hAnsi="Times New Roman"/>
          <w:sz w:val="20"/>
        </w:rPr>
        <w:t>”), “</w:t>
      </w:r>
      <w:r>
        <w:rPr>
          <w:rFonts w:ascii="Times New Roman" w:hAnsi="Times New Roman"/>
          <w:b/>
          <w:sz w:val="20"/>
        </w:rPr>
        <w:t>free writing prospectus</w:t>
      </w:r>
      <w:r>
        <w:rPr>
          <w:rFonts w:ascii="Times New Roman" w:hAnsi="Times New Roman"/>
          <w:sz w:val="20"/>
        </w:rPr>
        <w:t>” has the meaning set forth in Rule 405 under the Securities Act, “</w:t>
      </w:r>
      <w:r>
        <w:rPr>
          <w:rFonts w:ascii="Times New Roman" w:hAnsi="Times New Roman"/>
          <w:b/>
          <w:sz w:val="20"/>
        </w:rPr>
        <w:t>Time of Sale Prospectus</w:t>
      </w:r>
      <w:r>
        <w:rPr>
          <w:rFonts w:ascii="Times New Roman" w:hAnsi="Times New Roman"/>
          <w:sz w:val="20"/>
        </w:rPr>
        <w:t>” means the documents and pricing information set forth opposite the caption “Time of Sale Prospectus” in Schedule I hereto, and “</w:t>
      </w:r>
      <w:r>
        <w:rPr>
          <w:rFonts w:ascii="Times New Roman" w:hAnsi="Times New Roman"/>
          <w:b/>
          <w:sz w:val="20"/>
        </w:rPr>
        <w:t>broadly available road show</w:t>
      </w:r>
      <w:r>
        <w:rPr>
          <w:rFonts w:ascii="Times New Roman" w:hAnsi="Times New Roman"/>
          <w:sz w:val="20"/>
        </w:rPr>
        <w:t>” means a “bona fide electronic road show” as defined in Rule 433(h)(5) under the Securities Act that has been made available without restriction to any person. As used herein, the terms “Registration Statement,” “Basic Prospectus,” “preliminary prospectus,” “Time of Sale Prospectus” and “Prospectus” shall include the documents, if any, incorporated by reference therein as of the date hereof. The terms “</w:t>
      </w:r>
      <w:r>
        <w:rPr>
          <w:rFonts w:ascii="Times New Roman" w:hAnsi="Times New Roman"/>
          <w:b/>
          <w:sz w:val="20"/>
        </w:rPr>
        <w:t>supplement</w:t>
      </w:r>
      <w:r>
        <w:rPr>
          <w:rFonts w:ascii="Times New Roman" w:hAnsi="Times New Roman"/>
          <w:sz w:val="20"/>
        </w:rPr>
        <w:t>,” “</w:t>
      </w:r>
      <w:r>
        <w:rPr>
          <w:rFonts w:ascii="Times New Roman" w:hAnsi="Times New Roman"/>
          <w:b/>
          <w:sz w:val="20"/>
        </w:rPr>
        <w:t>amendment</w:t>
      </w:r>
      <w:r>
        <w:rPr>
          <w:rFonts w:ascii="Times New Roman" w:hAnsi="Times New Roman"/>
          <w:sz w:val="20"/>
        </w:rPr>
        <w:t>,” and “</w:t>
      </w:r>
      <w:r>
        <w:rPr>
          <w:rFonts w:ascii="Times New Roman" w:hAnsi="Times New Roman"/>
          <w:b/>
          <w:sz w:val="20"/>
        </w:rPr>
        <w:t>amend</w:t>
      </w:r>
      <w:r>
        <w:rPr>
          <w:rFonts w:ascii="Times New Roman" w:hAnsi="Times New Roman"/>
          <w:sz w:val="20"/>
        </w:rPr>
        <w:t>” as used herein with respect to the Registration Statement, the Basic Prospectus, the Time of Sale Prospectus, any preliminary prospectus or the Prospectus shall include all documents subsequently filed by the Company with the Commission pursuant to the Securities Exchange Act of 1934, as amended (the “</w:t>
      </w:r>
      <w:r>
        <w:rPr>
          <w:rFonts w:ascii="Times New Roman" w:hAnsi="Times New Roman"/>
          <w:b/>
          <w:sz w:val="20"/>
        </w:rPr>
        <w:t>Exchange Act</w:t>
      </w:r>
      <w:r>
        <w:rPr>
          <w:rFonts w:ascii="Times New Roman" w:hAnsi="Times New Roman"/>
          <w:sz w:val="20"/>
        </w:rPr>
        <w:t xml:space="preserve">”), that are deemed to be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Company has only one subsidiary, then all references herein to “subsidiaries” of the Company shall be deemed to refer to such single subsidiary, </w:t>
      </w:r>
      <w:r>
        <w:rPr>
          <w:rFonts w:ascii="Times New Roman" w:hAnsi="Times New Roman"/>
          <w:sz w:val="20"/>
          <w:u w:val="single"/>
        </w:rPr>
        <w:t>mutatis</w:t>
      </w:r>
      <w:r>
        <w:rPr>
          <w:rFonts w:ascii="Times New Roman" w:hAnsi="Times New Roman"/>
          <w:sz w:val="20"/>
        </w:rPr>
        <w:t xml:space="preserve"> </w:t>
      </w:r>
      <w:r>
        <w:rPr>
          <w:rFonts w:ascii="Times New Roman" w:hAnsi="Times New Roman"/>
          <w:sz w:val="20"/>
          <w:u w:val="single"/>
        </w:rPr>
        <w:t>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Representations and Warranties of the Company</w:t>
      </w:r>
      <w:r>
        <w:rPr>
          <w:rFonts w:ascii="Times New Roman" w:hAnsi="Times New Roman"/>
          <w:sz w:val="20"/>
        </w:rPr>
        <w:t xml:space="preserve">. The Company represents and warrants to and agrees with each of the Underwriters, that: </w:t>
      </w:r>
    </w:p>
    <w:p>
      <w:pPr>
        <w:pStyle w:val="TextBody"/>
        <w:bidi w:val="0"/>
        <w:spacing w:before="120" w:after="0"/>
        <w:jc w:val="left"/>
        <w:rPr>
          <w:rFonts w:ascii="Times New Roman" w:hAnsi="Times New Roman"/>
          <w:sz w:val="20"/>
        </w:rPr>
      </w:pPr>
      <w:r>
        <w:rPr>
          <w:rFonts w:ascii="Times New Roman" w:hAnsi="Times New Roman"/>
          <w:sz w:val="20"/>
        </w:rPr>
        <w:t xml:space="preserve">(a) The Company meets the requirements for use of Form S-3 under the Securities Act. The Registration Statement is a shelf registration statement and the Securities have been and remain eligible for registration by the Company on such Registration Statement. The Registration Statement and any post-effective amendment thereto has become effective under the Securities Act. No stop order suspending the effectiveness of the Registration Statement is in effect, and no proceedings for such purpose are pending before or, to the knowledge of the Company, threatened by the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each part of the Registration Statement, when such part became effective, did not contain, and each such part, as amended or supplemented, if applicable, will not, as of the date of such amendment or supplement, contain any untrue statement of a material fact or omit to state a material fact required to be stated therein or necessary to make the statements therein not misleading, (iii) the Registration Statement as of the date hereof does not contain any untrue statement of a material fact or omit to state a material fact required to be stated therein or necessary to make the statements therein not misleading, (iv) the Registration Statement and the Prospectus comply and, as amended or supplemented, if applicable, will comply in all material respects with the Securities Act and the applicable rules and regulations of the Commission thereunder, (v) the Time of Sale Prospectus does not, and at the time of each sale of the Securities in connection with the offering when the Prospectus is not yet available to prospective purchasers and at the Closing Date (as defined in Section 3),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(vi)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(vii) the Prospectus does not contain and, as amended or supplemented, if applicable, will not as of its date and as of the Closing Date and any Option Closing Date (as defined below)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or on behalf of such Underwriter through the Representatives expressly for use therein. </w:t>
      </w:r>
    </w:p>
    <w:p>
      <w:pPr>
        <w:pStyle w:val="TextBody"/>
        <w:bidi w:val="0"/>
        <w:spacing w:before="120" w:after="0"/>
        <w:jc w:val="left"/>
        <w:rPr>
          <w:rFonts w:ascii="Times New Roman" w:hAnsi="Times New Roman"/>
          <w:sz w:val="20"/>
        </w:rPr>
      </w:pPr>
      <w:r>
        <w:rPr>
          <w:rFonts w:ascii="Times New Roman" w:hAnsi="Times New Roman"/>
          <w:sz w:val="20"/>
        </w:rPr>
        <w:t xml:space="preserve">(c) The Company is not an “ineligible issuer” in connection with the offering hereby contemplated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Commission thereunder. Except for the free writing prospectuses, if any, identified in Schedule I hereto forming part of the Time of Sale Prospectus, and electronic road shows, if any, each furnished to the Representatives before first use, the Company has not prepared, used or referred to, and will not, without the Representatives’ prior consent, prepare, use or refer to, any free writing prospectus. </w:t>
      </w:r>
    </w:p>
    <w:p>
      <w:pPr>
        <w:pStyle w:val="TextBody"/>
        <w:bidi w:val="0"/>
        <w:spacing w:before="120" w:after="0"/>
        <w:jc w:val="left"/>
        <w:rPr>
          <w:rFonts w:ascii="Times New Roman" w:hAnsi="Times New Roman"/>
          <w:sz w:val="20"/>
        </w:rPr>
      </w:pPr>
      <w:r>
        <w:rPr>
          <w:rFonts w:ascii="Times New Roman" w:hAnsi="Times New Roman"/>
          <w:sz w:val="20"/>
        </w:rPr>
        <w:t>(d) The Company has been duly incorporated, is validly existing as a corporation in good standing under the laws of the State of Delaware,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have a material adverse effect on the condition, financial or otherwise, or on the earnings, business, operations or prospects of the Company and its subsidiaries, taken as a whole (collectively, a “</w:t>
      </w:r>
      <w:r>
        <w:rPr>
          <w:rFonts w:ascii="Times New Roman" w:hAnsi="Times New Roman"/>
          <w:b/>
          <w:sz w:val="20"/>
        </w:rPr>
        <w:t>Material Adverse Effect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Each subsidiary of the Company has been duly incorporated, is validly existing in good standing (which concept shall include the functional equivalent of “good standing” in non-U.S. jurisdictions, to the extent applicable) under the laws of the jurisdiction of its incorporation, has the applicable power and authority to own its property and to conduct its business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result in a Material Adverse Effect; all of the issued shares of capital stock of each subsidiary of the Company have been duly and validly authorized and issued, are fully paid and non-assessable and are owned directly by the Company, free and clear of all liens, encumbrances, equities or claims. </w:t>
      </w:r>
    </w:p>
    <w:p>
      <w:pPr>
        <w:pStyle w:val="TextBody"/>
        <w:bidi w:val="0"/>
        <w:spacing w:before="120" w:after="0"/>
        <w:jc w:val="left"/>
        <w:rPr>
          <w:rFonts w:ascii="Times New Roman" w:hAnsi="Times New Roman"/>
          <w:sz w:val="20"/>
        </w:rPr>
      </w:pPr>
      <w:r>
        <w:rPr>
          <w:rFonts w:ascii="Times New Roman" w:hAnsi="Times New Roman"/>
          <w:sz w:val="20"/>
        </w:rPr>
        <w:t xml:space="preserve">(f)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(g) The authorized capital stock of the Company conforms as to legal matters to the description thereof contained in the Time of Sale Prospectus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(h) The shares of Common Stock outstanding prior to the issuance of the Securities have been duly authorized and are validly issued, 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(i) The Shares have been duly authorized and, when issued, delivered and paid for in accordance with the terms of this Agreement, will be validly issued, fully paid and non-assessable, and the issuance of such Shares will not be subject to any preemptive or similar rights that have not been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The Warrants have been duly authorized by the Company and, when executed and delivered by the Company, will be valid and binding agreements of the Company, enforceable against the Company in accordance with the terms thereof, except as the enforcement thereof may be limited by bankruptcy, insolvency, reorganization, moratorium or other similar laws relating to or affecting the rights and remedies of creditors or by general equitable principles. </w:t>
      </w:r>
    </w:p>
    <w:p>
      <w:pPr>
        <w:pStyle w:val="TextBody"/>
        <w:bidi w:val="0"/>
        <w:spacing w:before="120" w:after="0"/>
        <w:jc w:val="left"/>
        <w:rPr>
          <w:rFonts w:ascii="Times New Roman" w:hAnsi="Times New Roman"/>
          <w:sz w:val="20"/>
        </w:rPr>
      </w:pPr>
      <w:r>
        <w:rPr>
          <w:rFonts w:ascii="Times New Roman" w:hAnsi="Times New Roman"/>
          <w:sz w:val="20"/>
        </w:rPr>
        <w:t xml:space="preserve">(k) The Warrant Shares have been duly authorized and validly reserved for issuance upon exercise of the Warrants in a number sufficient to meet the current exercise requirements; the Warrant Shares, when issued and delivered upon exercise of the Warrants in accordance therewith, will not be subject to any preemptive rights or similar rights that have not been waived. </w:t>
      </w:r>
    </w:p>
    <w:p>
      <w:pPr>
        <w:pStyle w:val="TextBody"/>
        <w:bidi w:val="0"/>
        <w:spacing w:before="120" w:after="0"/>
        <w:jc w:val="left"/>
        <w:rPr>
          <w:rFonts w:ascii="Times New Roman" w:hAnsi="Times New Roman"/>
          <w:sz w:val="20"/>
        </w:rPr>
      </w:pPr>
      <w:r>
        <w:rPr>
          <w:rFonts w:ascii="Times New Roman" w:hAnsi="Times New Roman"/>
          <w:sz w:val="20"/>
        </w:rPr>
        <w:t>(l) 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that in the case of clauses (i) and (iii) as would not, individually or in the aggregate, reasonably be expected to have a Material Adverse Effect, or on the power and ability of the Company to perform its obligations under this Agreement; and no consent, approval, authorization or order of, or qualification with, any governmental body or agency is required to be obtained by the Company for the performance by the Company of its obligations under this Agreement, except such as have already been obtained or made or as may be required by the securities or Blue Sky laws of the various states or the rules and regulations of the Financial Industry Regulatory Authority, Inc. (“</w:t>
      </w:r>
      <w:r>
        <w:rPr>
          <w:rFonts w:ascii="Times New Roman" w:hAnsi="Times New Roman"/>
          <w:b/>
          <w:sz w:val="20"/>
        </w:rPr>
        <w:t>FINRA</w:t>
      </w:r>
      <w:r>
        <w:rPr>
          <w:rFonts w:ascii="Times New Roman" w:hAnsi="Times New Roman"/>
          <w:sz w:val="20"/>
        </w:rPr>
        <w:t xml:space="preserve">”) in connection with the offer and 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(m) There has not occurred any material adverse change, or any development involving a prospective change that would reasonably be expected to result in a material adverse effect, in the condition, financial or otherwise, or in the earnings, business, operations or prospects of the Company and its subsidiaries, taken as a whole, from that set forth in each of the Registration Statement, the Time of Sale Prospectus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(n) There are no legal or governmental proceedings pending or threatened in writing to which the Company or any of its subsidiaries is, or, to the Company’s knowledge, may be, a party or to which any of the properties of the Company or any of its subsidiaries is subject (i) other than proceedings accurately described in all material respects in the Time of Sale Prospectus and proceedings that if determined adversely to the Company would not reasonably be expected to have a Material Adverse Effect, or on the power or ability of the Company to perform its obligations under this Agreement or to consummate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contemplated by the Time of Sale Prospectus or (ii) that are required to be described in the Registration Statement or the Prospectus and are not so described; and there are no statutes, regulations, contracts or other documents that are required to be described in the Registration Statement or the Prospectus or to be filed as exhibits to the Registration Statement that are not described or filed as required. </w:t>
      </w:r>
    </w:p>
    <w:p>
      <w:pPr>
        <w:pStyle w:val="TextBody"/>
        <w:bidi w:val="0"/>
        <w:spacing w:before="120" w:after="0"/>
        <w:jc w:val="left"/>
        <w:rPr>
          <w:rFonts w:ascii="Times New Roman" w:hAnsi="Times New Roman"/>
          <w:sz w:val="20"/>
        </w:rPr>
      </w:pPr>
      <w:r>
        <w:rPr>
          <w:rFonts w:ascii="Times New Roman" w:hAnsi="Times New Roman"/>
          <w:sz w:val="20"/>
        </w:rPr>
        <w:t xml:space="preserve">(o) 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(p) The Company is not, and after giving effect to the offering and sale of the Securities and the application of the net proceeds thereof as described in the Prospectus will not be as of the Closing Date and applicable Option Closing Date, if any, required to register as an “investment company” as such term is defined in the Investment Company Act of 1940, as amended. </w:t>
      </w:r>
    </w:p>
    <w:p>
      <w:pPr>
        <w:pStyle w:val="TextBody"/>
        <w:bidi w:val="0"/>
        <w:spacing w:before="120" w:after="0"/>
        <w:jc w:val="left"/>
        <w:rPr>
          <w:rFonts w:ascii="Times New Roman" w:hAnsi="Times New Roman"/>
          <w:sz w:val="20"/>
        </w:rPr>
      </w:pPr>
      <w:r>
        <w:rPr>
          <w:rFonts w:ascii="Times New Roman" w:hAnsi="Times New Roman"/>
          <w:sz w:val="20"/>
        </w:rPr>
        <w:t>(q)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(r)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pursuant to Environmental Laws) which would, singly or in the aggregate,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(s) (i) Except as described in the Time of Sale Prospectus, the pre- clinical trials and other tests conducted by or (x) on behalf of or sponsored by the Company or any of its subsidiaries, or (y) in which the Company or any of its subsidiaries has participated, that are described in the Time of Sale Prospectus, or the results of which are referred to in the Time of Sale Prospectus, as applicable, were, and if still pending, are being conducted in all material respects in accordance with standard medical and scientific research standards and procedures for products or product candidates comparable to those being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developed by the Company and its subsidiaries and all applicable statutes and all applicable rules, regulations and guidance documents of the U.S. Food and Drug Administration (“</w:t>
      </w:r>
      <w:r>
        <w:rPr>
          <w:rFonts w:ascii="Times New Roman" w:hAnsi="Times New Roman"/>
          <w:b/>
          <w:sz w:val="20"/>
        </w:rPr>
        <w:t>FDA</w:t>
      </w:r>
      <w:r>
        <w:rPr>
          <w:rFonts w:ascii="Times New Roman" w:hAnsi="Times New Roman"/>
          <w:sz w:val="20"/>
        </w:rPr>
        <w:t>”) and comparable regulatory agencies outside of the United States to which they are subject, including the European Commission and the European Medicines Agency (collectively, the “</w:t>
      </w:r>
      <w:r>
        <w:rPr>
          <w:rFonts w:ascii="Times New Roman" w:hAnsi="Times New Roman"/>
          <w:b/>
          <w:sz w:val="20"/>
        </w:rPr>
        <w:t>Regulatory Authorities</w:t>
      </w:r>
      <w:r>
        <w:rPr>
          <w:rFonts w:ascii="Times New Roman" w:hAnsi="Times New Roman"/>
          <w:sz w:val="20"/>
        </w:rPr>
        <w:t xml:space="preserve">”) and current Good Clinical Practices and Good Laboratory Practices; (ii) the descriptions in the Time of Sale Prospectus of the results of such studies and tests are materially accurate and complete descriptions and fairly present the material data derived therefrom; (iii) the Company has no knowledge of any other trials or tests conducted by or (x) on behalf of or sponsored by the Company or any of its subsidiaries, or (y) in which the Company or any of its subsidiaries has participated that are not described in the Time of Sale Prospectus, the results of which are materially inconsistent with or raise questions concerning the validity of the results described or referred to in the Time of Sale Prospectus; (iv) the Company and its subsidiaries have operated at all times and are currently in compliance in all material respects with all applicable statutes, rules and regulations of the Regulatory Authorities; and (v) except as described in the Time of Sale Prospectus, the Company and its subsidiaries have not received any written notices, correspondence or other communications from the Regulatory Authorities or any other governmental agency requiring or threatening the termination, modification or suspension of any clinical or pre-clinical trials or other clinical or pre-clinical tests that are described in the Time of Sale Prospectus or the results of which are referred to in the Time of Sale Prospectus, other than ordinary course communications with respect to modifications in connection with the design and implementation of such trials and tests, and there are no reasonable grounds for the same. </w:t>
      </w:r>
    </w:p>
    <w:p>
      <w:pPr>
        <w:pStyle w:val="TextBody"/>
        <w:bidi w:val="0"/>
        <w:spacing w:before="120" w:after="0"/>
        <w:jc w:val="left"/>
        <w:rPr>
          <w:rFonts w:ascii="Times New Roman" w:hAnsi="Times New Roman"/>
          <w:sz w:val="20"/>
        </w:rPr>
      </w:pPr>
      <w:r>
        <w:rPr>
          <w:rFonts w:ascii="Times New Roman" w:hAnsi="Times New Roman"/>
          <w:sz w:val="20"/>
        </w:rPr>
        <w:t xml:space="preserve">(t) The Company and its subsidiaries have not failed to file with the Regulatory Authorities any required filing, declaration, listing, registration, report or submission with respect to the Company’s product candidates or pre-clinical trials or other tests that are described or referred to in the Time of Sale Prospectus; all such filings, declarations, listings, registrations, reports or submissions were in compliance with applicable laws when filed; and no deficiencies regarding compliance with applicable law have been asserted by any applicable regulatory authority with respect to any such filings, declarations, listings, registrations, reports or submissions. </w:t>
      </w:r>
    </w:p>
    <w:p>
      <w:pPr>
        <w:pStyle w:val="TextBody"/>
        <w:bidi w:val="0"/>
        <w:spacing w:before="120" w:after="0"/>
        <w:jc w:val="left"/>
        <w:rPr>
          <w:rFonts w:ascii="Times New Roman" w:hAnsi="Times New Roman"/>
          <w:sz w:val="20"/>
        </w:rPr>
      </w:pPr>
      <w:r>
        <w:rPr>
          <w:rFonts w:ascii="Times New Roman" w:hAnsi="Times New Roman"/>
          <w:sz w:val="20"/>
        </w:rPr>
        <w:t xml:space="preserve">(u) The Company and its subsidiaries possess all licenses, certificates, permits and other authorizations issued by, and have made all declarations and filings with, the appropriate federal, state, local or foreign governmental or regulatory authorities that are necessary for the ownership or lease of their properties or the conduct of their business as described in the Time of Sale Prospectus, and except as described in the Time of Sale Prospectus, the Company and its subsidiaries have not received notice of any revocation or modification of any such license, certificate, permit or authorization or have any reason to believe that any such license, certificate, permit or authorization will not be renewed in the ordinary course. Except as described in the Time of Sale Prospectus,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Company and its subsidiaries (i) are, and at all times have been, in compliance in all material respects with all statutes, rules and regulations applicable to the ownership, testing, development, manufacture, packaging, processing, use, distribution, storage, import, export or disposal of any product manufactured or distributed by the Company (“</w:t>
      </w:r>
      <w:r>
        <w:rPr>
          <w:rFonts w:ascii="Times New Roman" w:hAnsi="Times New Roman"/>
          <w:b/>
          <w:sz w:val="20"/>
        </w:rPr>
        <w:t>Applicable Laws</w:t>
      </w:r>
      <w:r>
        <w:rPr>
          <w:rFonts w:ascii="Times New Roman" w:hAnsi="Times New Roman"/>
          <w:sz w:val="20"/>
        </w:rPr>
        <w:t xml:space="preserve">”), and (ii) have not received any FDA Form 483, written notice of adverse finding, warning letter, untitled letter or other correspondence or written notice from any court or arbitrator or governmental or regulatory authority alleging or asserting non-compliance with (x) any Applicable Laws or (y) any licenses, exemptions, certificates, approvals, clearances, authorizations, permits and supplements or amendments thereto required by any such Applicable Laws. The Company and its subsidiaries have not received written notice of any claim, action, suit, proceeding, hearing, enforcement, investigation, arbitration or other action from any court or arbitrator or governmental or regulatory authority or third party alleging that any operation or activity is in material violation of any Applicable Laws, and no such notice of any claim, action, suit, proceeding, hearing, enforcement, investigation, arbitration or other action is threatened. The Company and its subsidiaries are not a party to any corporate integrity agreements, monitoring agreements, consent decrees, settlement orders, or similar agreements with or imposed by any governmental or regulatory authority. Additionally, to the Company’s knowledge, none of its employees, officers or directors has been excluded, suspended or debarred from participation in any U.S. federal health care program, clinical or pre-clinical research or comparable foreign program or is subject to a governmental inquiry, investigation, proceeding, or other similar action that could reasonably be expected to result in debarment, suspension, or exclusion. </w:t>
      </w:r>
    </w:p>
    <w:p>
      <w:pPr>
        <w:pStyle w:val="TextBody"/>
        <w:bidi w:val="0"/>
        <w:spacing w:before="120" w:after="0"/>
        <w:jc w:val="left"/>
        <w:rPr>
          <w:rFonts w:ascii="Times New Roman" w:hAnsi="Times New Roman"/>
          <w:sz w:val="20"/>
        </w:rPr>
      </w:pPr>
      <w:r>
        <w:rPr>
          <w:rFonts w:ascii="Times New Roman" w:hAnsi="Times New Roman"/>
          <w:sz w:val="20"/>
        </w:rPr>
        <w:t xml:space="preserve">(v) Except as described in the Time of Sale Prospectus, the Company and its subsidiaries have not sent or received any communication regarding termination of, or intent not to renew, any of the contracts or agreements referred to or described in the Registration Statement, the Time of Sale Prospectus, the Prospectus or any free writing prospectus, or referred to or described in, or filed as an exhibit to, the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(w) Except as described in the Time of Sale Prospectus and as have been waived, there are no contracts, agreements or understandings between the Company and any person granting such person the right to require the Company to file a registration statement under the Securities Act or comparable foreign program with respect to any securities of the Company or to require the Company to include such securities with the Securities registered pursuant to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(i) None of the Company or its subsidiaries, or any director or officer, nor, to the Company’s knowledge, any employee, affiliate, agent, representative, or other person acting on behalf of the Company or any of its subsidiaries or affiliates, has taken (or will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improperly influence official action or secure an improper advantage; (ii) the Company and its subsidiaries and, to the Company’s knowledge, its affiliates have conducted their businesses in compliance with applicable anti-corruption laws and have instituted and maintained (and will maintain) policies and procedures designed to promote and achieve compliance with such laws and with the representation and warranty contained herein; and (iii) neither the Company nor its subsidiaries will use, directly or indirectly, the proceeds of the offering in furtherance of an offer, payment, promise to pay, or authorization of the payment or giving of money, or anything else of value, to any person in violation of any applicable anti-corruption laws. </w:t>
      </w:r>
    </w:p>
    <w:p>
      <w:pPr>
        <w:pStyle w:val="TextBody"/>
        <w:bidi w:val="0"/>
        <w:spacing w:before="120" w:after="0"/>
        <w:jc w:val="left"/>
        <w:rPr>
          <w:rFonts w:ascii="Times New Roman" w:hAnsi="Times New Roman"/>
          <w:sz w:val="20"/>
        </w:rPr>
      </w:pPr>
      <w:r>
        <w:rPr>
          <w:rFonts w:ascii="Times New Roman" w:hAnsi="Times New Roman"/>
          <w:sz w:val="20"/>
        </w:rPr>
        <w:t>(y) The operations of the Company and its subsidiaries are and have been conducted at all times in compliance in all material respects with all applicable financial recordkeeping and reporting requirements, including those of the Bank Secrecy Act, as amended by Title III of the Uniting and Strengthening America by Providing Appropriate Tools Required to Intercept and Obstruct Terrorism Act of 2001 (“</w:t>
      </w:r>
      <w:r>
        <w:rPr>
          <w:rFonts w:ascii="Times New Roman" w:hAnsi="Times New Roman"/>
          <w:b/>
          <w:sz w:val="20"/>
        </w:rPr>
        <w:t>USA PATRIOT Act</w:t>
      </w:r>
      <w:r>
        <w:rPr>
          <w:rFonts w:ascii="Times New Roman" w:hAnsi="Times New Roman"/>
          <w:sz w:val="20"/>
        </w:rPr>
        <w: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hAnsi="Times New Roman"/>
          <w:b/>
          <w:sz w:val="20"/>
        </w:rPr>
        <w:t>Anti- 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Anti-Money Laundering Laws is pending or, to the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(z) (i) None of the Company, any of its subsidiaries or any director or officer, or, to the Company’s knowledge, any employee thereof or any agent, affiliate or representative of the Company or any of its subsidiaries, is an individual or entity (“</w:t>
      </w:r>
      <w:r>
        <w:rPr>
          <w:rFonts w:ascii="Times New Roman" w:hAnsi="Times New Roman"/>
          <w:b/>
          <w:sz w:val="20"/>
        </w:rPr>
        <w:t>Person</w:t>
      </w:r>
      <w:r>
        <w:rPr>
          <w:rFonts w:ascii="Times New Roman" w:hAnsi="Times New Roman"/>
          <w:sz w:val="20"/>
        </w:rPr>
        <w:t xml:space="preserve">”) that is, or is owned or controlled by a Person that is: </w:t>
      </w:r>
    </w:p>
    <w:p>
      <w:pPr>
        <w:pStyle w:val="TextBody"/>
        <w:bidi w:val="0"/>
        <w:spacing w:before="120" w:after="0"/>
        <w:jc w:val="left"/>
        <w:rPr>
          <w:rFonts w:ascii="Times New Roman" w:hAnsi="Times New Roman"/>
          <w:sz w:val="20"/>
        </w:rPr>
      </w:pPr>
      <w:r>
        <w:rPr>
          <w:rFonts w:ascii="Times New Roman" w:hAnsi="Times New Roman"/>
          <w:sz w:val="20"/>
        </w:rPr>
        <w:t>(A) the subject of any sanctions administered or enforced by the U.S. Department of the Treasury’s Office of Foreign Assets Control, the United Nations Security Council, the European Union, His Majesty’s Treasury of the United Kingdom, or other relevant sanctions authority (collectively, “</w:t>
      </w:r>
      <w:r>
        <w:rPr>
          <w:rFonts w:ascii="Times New Roman" w:hAnsi="Times New Roman"/>
          <w:b/>
          <w:sz w:val="20"/>
        </w:rPr>
        <w:t>Sanctions</w:t>
      </w:r>
      <w:r>
        <w:rPr>
          <w:rFonts w:ascii="Times New Roman" w:hAnsi="Times New Roman"/>
          <w:sz w:val="20"/>
        </w:rPr>
        <w:t xml:space="preserve">”), nor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located, organized or resident in a country or territory that is itself the subject or target of Sanctions (including, without limitation, the non-government controlled areas of the Zaporizhzhia and Kherson Regions of Ukraine, the so-called Donetsk People’s Republic, the so-called Luhansk People’s Republic or any other Covered Region of Ukraine identified pursuant to Executive Order 14065, and the Crimea region of Ukraine, Cuba, Iran and North Korea) (each a “</w:t>
      </w:r>
      <w:r>
        <w:rPr>
          <w:rFonts w:ascii="Times New Roman" w:hAnsi="Times New Roman"/>
          <w:b/>
          <w:sz w:val="20"/>
        </w:rPr>
        <w:t>Sanctioned Jurisdiction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will not, directly or indirectly, use the proceeds of the offering, or lend, contribute or otherwise make available such proceeds to any subsidiary, joint venture partner or other Person: </w:t>
      </w:r>
    </w:p>
    <w:p>
      <w:pPr>
        <w:pStyle w:val="TextBody"/>
        <w:bidi w:val="0"/>
        <w:spacing w:before="120" w:after="0"/>
        <w:jc w:val="left"/>
        <w:rPr>
          <w:rFonts w:ascii="Times New Roman" w:hAnsi="Times New Roman"/>
          <w:sz w:val="20"/>
        </w:rPr>
      </w:pPr>
      <w:r>
        <w:rPr>
          <w:rFonts w:ascii="Times New Roman" w:hAnsi="Times New Roman"/>
          <w:sz w:val="20"/>
        </w:rPr>
        <w:t xml:space="preserve">(A) to fund or facilitate any activities or business of or with any Person or in any country or territory that, at the time of such funding or facilitation, is itself the subject or target of Sanctions; or </w:t>
      </w:r>
    </w:p>
    <w:p>
      <w:pPr>
        <w:pStyle w:val="TextBody"/>
        <w:bidi w:val="0"/>
        <w:spacing w:before="120" w:after="0"/>
        <w:jc w:val="left"/>
        <w:rPr>
          <w:rFonts w:ascii="Times New Roman" w:hAnsi="Times New Roman"/>
          <w:sz w:val="20"/>
        </w:rPr>
      </w:pPr>
      <w:r>
        <w:rPr>
          <w:rFonts w:ascii="Times New Roman" w:hAnsi="Times New Roman"/>
          <w:sz w:val="20"/>
        </w:rPr>
        <w:t xml:space="preserve">(B) in any other manner that will result in a violation of Sanctions by any Person (including any Person participating in the offering, whether as underwriter, advisor, investor or otherwise). </w:t>
      </w:r>
    </w:p>
    <w:p>
      <w:pPr>
        <w:pStyle w:val="TextBody"/>
        <w:bidi w:val="0"/>
        <w:spacing w:before="120" w:after="0"/>
        <w:jc w:val="left"/>
        <w:rPr>
          <w:rFonts w:ascii="Times New Roman" w:hAnsi="Times New Roman"/>
          <w:sz w:val="20"/>
        </w:rPr>
      </w:pPr>
      <w:r>
        <w:rPr>
          <w:rFonts w:ascii="Times New Roman" w:hAnsi="Times New Roman"/>
          <w:sz w:val="20"/>
        </w:rPr>
        <w:t xml:space="preserve">(iii) Since April 24, 2019, the Company and its subsidiaries have not knowingly engaged in, are not now knowingly engaged in, and will not engage in, any dealings or transactions with any Person, or in any country or territory, that at the time of the dealing or transaction is or was the subject or target of Sanctions or with any Sanctioned Jurisdiction. </w:t>
      </w:r>
    </w:p>
    <w:p>
      <w:pPr>
        <w:pStyle w:val="TextBody"/>
        <w:bidi w:val="0"/>
        <w:spacing w:before="120" w:after="0"/>
        <w:jc w:val="left"/>
        <w:rPr>
          <w:rFonts w:ascii="Times New Roman" w:hAnsi="Times New Roman"/>
          <w:sz w:val="20"/>
        </w:rPr>
      </w:pPr>
      <w:r>
        <w:rPr>
          <w:rFonts w:ascii="Times New Roman" w:hAnsi="Times New Roman"/>
          <w:sz w:val="20"/>
        </w:rPr>
        <w:t xml:space="preserve">(aa) Subsequent to the respective dates as of which financial information is given in each of the Registration Statement, the Time of Sale Prospectus and the Prospectus, (i) the Company and its subsidiaries have not incurred any material liability or obligation, direct or contingent, nor entered into any material transaction; (ii) the Company and its subsidiaries have not purchased any of the Company’s outstanding capital stock (other than from their employees in connection with the termination of their service pursuant to plans or agreements described in all material respects in each of the Registration Statement, the Time of Sale Prospectus and the Prospectus, respectively), nor declared, paid or otherwise made any dividend or distribution of any kind on the Company’s capital stock other than ordinary and customary dividends; and (iii) there has not been any material change in the capital stock, short-term debt or long-term debt of the Company or any of its subsidiaries, except in each case as described in each of the Registration Statement, the Time of Sale Prospectus and the Prospectus,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 The Company and each of its subsidiaries have good and marketable title in fee simple to all real property and good and marketable title to all tangible personal property owned by them which is material to the business of the Company and its subsidiaries in each case free and clear of all liens, encumbrances and defects of title except such as are described in the Time of Sale Prospectus or such as do not materially affect the value of such property and do not materially interfere with the use made and proposed to be made of such property by the Company or its subsidiaries; and any real property and buildings held under lease by the Company or any of its subsidiaries are held by them under valid, subsisting and, to the Company’s knowledge, enforceable leases with such exceptions as are not material and do not materially interfere with the use made and proposed to be made of such property and buildings by the Company or its subsidiaries, in each case except as described in the Time of Sale Prospectus. </w:t>
      </w:r>
    </w:p>
    <w:p>
      <w:pPr>
        <w:pStyle w:val="TextBody"/>
        <w:bidi w:val="0"/>
        <w:spacing w:before="120" w:after="0"/>
        <w:jc w:val="left"/>
        <w:rPr>
          <w:rFonts w:ascii="Times New Roman" w:hAnsi="Times New Roman"/>
          <w:sz w:val="20"/>
        </w:rPr>
      </w:pPr>
      <w:r>
        <w:rPr>
          <w:rFonts w:ascii="Times New Roman" w:hAnsi="Times New Roman"/>
          <w:sz w:val="20"/>
        </w:rPr>
        <w:t>(cc) The Company and each of its subsidiaries own or possess, or can acquire on commercially reasonable terms, rights in or to all patents, patent rights, licenses, inventions, copyrights, know-how (including trade secrets and other unpatented and/or unpatentable proprietary or confidential information, systems or procedures), trademarks, service marks, trade names, domain names and other similar intellectual property or proprietary rights (including all registrations and applications for registration of, and all goodwill associated with, the foregoing) (collectively, “</w:t>
      </w:r>
      <w:r>
        <w:rPr>
          <w:rFonts w:ascii="Times New Roman" w:hAnsi="Times New Roman"/>
          <w:b/>
          <w:sz w:val="20"/>
        </w:rPr>
        <w:t>Intellectual Property</w:t>
      </w:r>
      <w:r>
        <w:rPr>
          <w:rFonts w:ascii="Times New Roman" w:hAnsi="Times New Roman"/>
          <w:sz w:val="20"/>
        </w:rPr>
        <w:t xml:space="preserve">”), in each case necessary for the conduct of the business of the Company and its subsidiaries, taken as a whole, in all material respects as currently conducted and as proposed to be conducted in the Registration Statement, Time of Sale Prospectus and/or Prospectus; provided that, nothing in this sentence shall be deemed or otherwise interpreted to be a representation regarding infringement, misappropriation or other violation of Intellectual Property rights of others. To the knowledge of the Company, the Company and its subsidiaries have not infringed, misappropriated or otherwise violated any Intellectual Property of any third party in any material respect. The Company and its subsidiaries have not received any written notice of infringement, misappropriation or other violation of, or conflict with, any Intellectual Property of any third party, or any written notice challenging the validity, enforceability, ownership or scope of any Intellectual Property of the Company or any of its subsidiaries, in each case, which, singly or in the aggregate, if the subject of an unfavorable decision, ruling or finding, would result in a Material Adverse Effect. To the knowledge of the Company, all material Intellectual Property of the Company and its subsidiaries is valid and enforceable. </w:t>
      </w:r>
    </w:p>
    <w:p>
      <w:pPr>
        <w:pStyle w:val="TextBody"/>
        <w:bidi w:val="0"/>
        <w:spacing w:before="120" w:after="0"/>
        <w:jc w:val="left"/>
        <w:rPr>
          <w:rFonts w:ascii="Times New Roman" w:hAnsi="Times New Roman"/>
          <w:sz w:val="20"/>
        </w:rPr>
      </w:pPr>
      <w:r>
        <w:rPr>
          <w:rFonts w:ascii="Times New Roman" w:hAnsi="Times New Roman"/>
          <w:sz w:val="20"/>
        </w:rPr>
        <w:t xml:space="preserve">(dd) No labor dispute with the employees of the Company or its subsidiaries exists, except as described in the Time of Sale Prospectus, or, to the knowledge of the Company, is imminent that would reasonably be expected to result in a Material Adverse Effect; and the Company and its subsidiaries have not received any written notice of any existing, threatened or imminent labor disturbance by the employees of any of its principal suppliers, manufacturers or contractors that would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(ee) The Company and each of its subsidiaries are insured by insurers of recognized financial responsibility against such losses and risks and in such amounts as, in the reasonable judgment of the Company, are prudent and customary in the business in which it is engaged; the Company and its subsidiaries have not been refused any insurance coverage sought or applied for; and the Company and its subsidiaries have no reason to believe that they will not be able to renew their respective existing insurance coverage as and when such coverage expires or to obtain similar coverage from similar insurers as may be necessary to continue its business at a cost that would not reasonably be expected to result in a Material Adverse Effect, except as described in the Time of Sale Prospectus. </w:t>
      </w:r>
    </w:p>
    <w:p>
      <w:pPr>
        <w:pStyle w:val="TextBody"/>
        <w:bidi w:val="0"/>
        <w:spacing w:before="120" w:after="0"/>
        <w:jc w:val="left"/>
        <w:rPr>
          <w:rFonts w:ascii="Times New Roman" w:hAnsi="Times New Roman"/>
          <w:sz w:val="20"/>
        </w:rPr>
      </w:pPr>
      <w:r>
        <w:rPr>
          <w:rFonts w:ascii="Times New Roman" w:hAnsi="Times New Roman"/>
          <w:sz w:val="20"/>
        </w:rPr>
        <w:t xml:space="preserve">(ff) The Company and its subsidiaries possess all certificates, authorizations and permits issued by the appropriate federal, state or foreign regulatory authorities necessary to conduct their business in the manner as now conducted as described in the Registration Statement, the Time of Sale Prospectus and Prospectus, except where the failure to obtain such certificates, authorizations or permits, individually or in the aggregate, would not result in a Material Adverse Effect, and the Company and its subsidiaries have not received any notice of proceedings relating to the revocation or modification of any such certificate, authorization or permit which, singly or in the aggregate, if the subject of an unfavorable decision, ruling or finding, would reasonably be expected to result in a Material Adverse Effect, except as described in the Time of Sale Prospectus. </w:t>
      </w:r>
    </w:p>
    <w:p>
      <w:pPr>
        <w:pStyle w:val="TextBody"/>
        <w:bidi w:val="0"/>
        <w:spacing w:before="120" w:after="0"/>
        <w:jc w:val="left"/>
        <w:rPr>
          <w:rFonts w:ascii="Times New Roman" w:hAnsi="Times New Roman"/>
          <w:sz w:val="20"/>
        </w:rPr>
      </w:pPr>
      <w:r>
        <w:rPr>
          <w:rFonts w:ascii="Times New Roman" w:hAnsi="Times New Roman"/>
          <w:sz w:val="20"/>
        </w:rPr>
        <w:t>(gg) The Company and its subsidiaries maintain effective internal control over financial reporting (as defined under Rule 13-a15 and Rule 15d-15 of the Exchange Act) and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United States generally accepted accounting principles (“</w:t>
      </w:r>
      <w:r>
        <w:rPr>
          <w:rFonts w:ascii="Times New Roman" w:hAnsi="Times New Roman"/>
          <w:b/>
          <w:sz w:val="20"/>
        </w:rPr>
        <w:t>U.S. GAAP</w:t>
      </w:r>
      <w:r>
        <w:rPr>
          <w:rFonts w:ascii="Times New Roman" w:hAnsi="Times New Roman"/>
          <w:sz w:val="20"/>
        </w:rPr>
        <w:t xml:space="preserve">”)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Except as described in the Time of Sale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adversely affected, or is reasonably likely to materially adversely affect, the Company’s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(hh)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w:t>
      </w:r>
    </w:p>
    <w:p>
      <w:pPr>
        <w:pStyle w:val="TextBody"/>
        <w:bidi w:val="0"/>
        <w:spacing w:before="120" w:after="0"/>
        <w:jc w:val="left"/>
        <w:rPr>
          <w:rFonts w:ascii="Times New Roman" w:hAnsi="Times New Roman"/>
          <w:sz w:val="20"/>
        </w:rPr>
      </w:pPr>
      <w:r>
        <w:rPr>
          <w:rFonts w:ascii="Times New Roman" w:hAnsi="Times New Roman"/>
          <w:sz w:val="20"/>
        </w:rPr>
        <w:t xml:space="preserve">(ii) Except as described in the Time of Sale Prospectus, the Company and its subsidiaries have not sold, issued or distributed any shares of Common Stock during the six-month period preceding the date hereof, including any sales pursuant to Rule 144A under, or Regulation D or S under, the Securities Act, other than shares issued pursuant to employee benefit plans, qualified stock option plans or other employee compensation plans or pursuant to outstanding options, rights or warrants. </w:t>
      </w:r>
    </w:p>
    <w:p>
      <w:pPr>
        <w:pStyle w:val="TextBody"/>
        <w:bidi w:val="0"/>
        <w:spacing w:before="120" w:after="0"/>
        <w:jc w:val="left"/>
        <w:rPr>
          <w:rFonts w:ascii="Times New Roman" w:hAnsi="Times New Roman"/>
          <w:sz w:val="20"/>
        </w:rPr>
      </w:pPr>
      <w:r>
        <w:rPr>
          <w:rFonts w:ascii="Times New Roman" w:hAnsi="Times New Roman"/>
          <w:sz w:val="20"/>
        </w:rPr>
        <w:t xml:space="preserve">(jj) The Company and each of its subsidiaries have filed all federal, state, local and foreign tax returns required to be filed through the date of this Agreement or have requested extensions thereof, except where the failure to file would not, individually or in the aggregate, reasonably be expected to result in a Material Adverse Effect and have paid all taxes required to be paid thereon (except for cases in which the failure to pay would not reasonably be expected to result in a Material Adverse Effect, or except as currently being contested in good faith and for which reserves required by U.S. GAAP have been created in the financial statements of the Company), and no tax deficiency has been determined adversely to the Company or its subsidiaries which has had (nor do the Company or its subsidiaries have any notice or knowledge of any tax deficiency which could reasonably be expected to be determined adversely to the Company and its subsidiaries and which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(kk) Each employee benefit plan, within the meaning of Section 3(3) of the Employee Retirement Income Security Act of 1974, as amended (“</w:t>
      </w:r>
      <w:r>
        <w:rPr>
          <w:rFonts w:ascii="Times New Roman" w:hAnsi="Times New Roman"/>
          <w:b/>
          <w:sz w:val="20"/>
        </w:rPr>
        <w:t>ERISA</w:t>
      </w:r>
      <w:r>
        <w:rPr>
          <w:rFonts w:ascii="Times New Roman" w:hAnsi="Times New Roman"/>
          <w:sz w:val="20"/>
        </w:rPr>
        <w:t>”), for which the Company or any member of its controlled group of corporations within the meaning of Section 414 of the Internal Revenue Code of 1986, as amended (the “</w:t>
      </w:r>
      <w:r>
        <w:rPr>
          <w:rFonts w:ascii="Times New Roman" w:hAnsi="Times New Roman"/>
          <w:b/>
          <w:sz w:val="20"/>
        </w:rPr>
        <w:t>Code</w:t>
      </w:r>
      <w:r>
        <w:rPr>
          <w:rFonts w:ascii="Times New Roman" w:hAnsi="Times New Roman"/>
          <w:sz w:val="20"/>
        </w:rPr>
        <w:t xml:space="preserve">”), would have any liability has been maintained in compliance with its terms and the requirements of any applicable statutes, orders, rules and regulations, including but not limited to, ERISA and the Code, except for such noncompliance, as would not, individually or in the aggregate,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(ll) The financial statements of the Company included or incorporated by reference in the Time of Sale Prospectus, together with the related schedules and notes thereto, present fairly in all material respects the consolidated financial position of the Company and its subsidiaries as of the dates shown and its results of operations and cash flows for the periods shown, and, except as otherwise disclosed in the Time of Sale Prospectus, such financial statements have been prepared in conformity with U.S. GAAP applied on a consistent basis throughout the periods covered thereby except for any normal year-end adjustments in the Company’s quarterly financial statements. Except as included in the Time of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Prospectus, no historical or pro forma financial statements or supporting schedules are required to be included in the Time of Sale Prospectus, preliminary prospectus or the Prospectus under the Securities Act. All disclosures contained in the Time of Sale Prospectus, if any, regarding “non-GAAP financial measures” (as such term is defined by the rules and regulations of the Commission) comply with Regulation G under the Exchange Act and Item 10 of Regulation S-K under the Securities Act, to the extent applicable. </w:t>
      </w:r>
    </w:p>
    <w:p>
      <w:pPr>
        <w:pStyle w:val="TextBody"/>
        <w:bidi w:val="0"/>
        <w:spacing w:before="120" w:after="0"/>
        <w:jc w:val="left"/>
        <w:rPr>
          <w:rFonts w:ascii="Times New Roman" w:hAnsi="Times New Roman"/>
          <w:sz w:val="20"/>
        </w:rPr>
      </w:pPr>
      <w:r>
        <w:rPr>
          <w:rFonts w:ascii="Times New Roman" w:hAnsi="Times New Roman"/>
          <w:sz w:val="20"/>
        </w:rPr>
        <w:t xml:space="preserve">(mm) PricewaterhouseCoopers LLP, who have certified certain financial statements of the Company, is an independent registered public accounting firm with respect to the Company within the meaning of the Securities Act, the Exchange Act and the applicable rules and regulations thereunder adopted by the Commission and the Public Company Accounting Oversight Board (United States). </w:t>
      </w:r>
    </w:p>
    <w:p>
      <w:pPr>
        <w:pStyle w:val="TextBody"/>
        <w:bidi w:val="0"/>
        <w:spacing w:before="120" w:after="0"/>
        <w:jc w:val="left"/>
        <w:rPr>
          <w:rFonts w:ascii="Times New Roman" w:hAnsi="Times New Roman"/>
          <w:sz w:val="20"/>
        </w:rPr>
      </w:pPr>
      <w:r>
        <w:rPr>
          <w:rFonts w:ascii="Times New Roman" w:hAnsi="Times New Roman"/>
          <w:sz w:val="20"/>
        </w:rPr>
        <w:t xml:space="preserve">(nn) The Company has no debt securities that are rated by any “nationally recognized statistical rating agency” (as that term is defined by the Commission for purposes of Section 3(a)(62) of the Exchange Act). </w:t>
      </w:r>
    </w:p>
    <w:p>
      <w:pPr>
        <w:pStyle w:val="TextBody"/>
        <w:bidi w:val="0"/>
        <w:spacing w:before="120" w:after="0"/>
        <w:jc w:val="left"/>
        <w:rPr>
          <w:rFonts w:ascii="Times New Roman" w:hAnsi="Times New Roman"/>
          <w:sz w:val="20"/>
        </w:rPr>
      </w:pPr>
      <w:r>
        <w:rPr>
          <w:rFonts w:ascii="Times New Roman" w:hAnsi="Times New Roman"/>
          <w:sz w:val="20"/>
        </w:rPr>
        <w:t>(oo) The Company and its subsidiaries have complied, and are presently in compliance, in all material respects, with all of their internal and external privacy policies and contractual obligations and all applicable laws, statutes, judgments, orders, rules and regulations of any court or arbitrator or other governmental or regulatory authority and any legal obligations, in each case, regarding the collection, use, transfer, import, export, storage, protection, disposal, disclosure and other processing by the Company and its subsidiaries of data related to identified or identifiable individuals (“</w:t>
      </w:r>
      <w:r>
        <w:rPr>
          <w:rFonts w:ascii="Times New Roman" w:hAnsi="Times New Roman"/>
          <w:b/>
          <w:sz w:val="20"/>
        </w:rPr>
        <w:t>Data Security Obligations</w:t>
      </w:r>
      <w:r>
        <w:rPr>
          <w:rFonts w:ascii="Times New Roman" w:hAnsi="Times New Roman"/>
          <w:sz w:val="20"/>
        </w:rPr>
        <w:t>”, and such data, “</w:t>
      </w:r>
      <w:r>
        <w:rPr>
          <w:rFonts w:ascii="Times New Roman" w:hAnsi="Times New Roman"/>
          <w:b/>
          <w:sz w:val="20"/>
        </w:rPr>
        <w:t>Personal Data</w:t>
      </w:r>
      <w:r>
        <w:rPr>
          <w:rFonts w:ascii="Times New Roman" w:hAnsi="Times New Roman"/>
          <w:sz w:val="20"/>
        </w:rPr>
        <w:t xml:space="preserve">”); (ii) neither the Company nor any of its subsidiaries has received any notification of or complaint regarding, and neither the Company nor any of its subsidiaries is aware of any other facts that, individually or in the aggregate, would reasonably indicate non-compliance in any material respect with any Data Security Obligation; and (iii) there is no pending, or to the knowledge of the Company, threatened, claim, action, suit or proceeding by or before any court or governmental agency, authority or body alleging non-compliance with any Data Security Obligation, other than proceedings that if determined adversely to the Company would not reasonably be expected to result in a Material Adverse Effect. The Company and its subsidiaries have taken commercially reasonable steps to protect the Personal Data against loss and against unauthorized access, use, modification, disclosure or other misuse, except in each case to the extent that the failure to do so would not reasonably be expected to result in a Material Adverse Effect. To the knowledge of the Company, except as would not individually or in the aggregate have a Material Adverse Effect there has been no unauthorized access to any of the Personal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Agreements to Sell and Purchase</w:t>
      </w:r>
      <w:r>
        <w:rPr>
          <w:rFonts w:ascii="Times New Roman" w:hAnsi="Times New Roman"/>
          <w:sz w:val="20"/>
        </w:rPr>
        <w:t>. The Company hereby agrees to sell to the several Underwriters, and each Underwriter, upon the basis of the representations and warranties herein contained, but subject to the conditions hereinafter stated, agrees, severally and not jointly, to purchase from the Company the respective numbers of Firm Shares set forth in Schedule II hereto opposite such Underwriter’s name at the purchase price set forth in Schedule I hereto (the “</w:t>
      </w:r>
      <w:r>
        <w:rPr>
          <w:rFonts w:ascii="Times New Roman" w:hAnsi="Times New Roman"/>
          <w:b/>
          <w:sz w:val="20"/>
        </w:rPr>
        <w:t>Share</w:t>
      </w:r>
      <w:r>
        <w:rPr>
          <w:rFonts w:ascii="Times New Roman" w:hAnsi="Times New Roman"/>
          <w:sz w:val="20"/>
        </w:rPr>
        <w:t xml:space="preserve"> </w:t>
      </w:r>
      <w:r>
        <w:rPr>
          <w:rFonts w:ascii="Times New Roman" w:hAnsi="Times New Roman"/>
          <w:b/>
          <w:sz w:val="20"/>
        </w:rPr>
        <w:t>Purchase Price</w:t>
      </w:r>
      <w:r>
        <w:rPr>
          <w:rFonts w:ascii="Times New Roman" w:hAnsi="Times New Roman"/>
          <w:sz w:val="20"/>
        </w:rPr>
        <w:t>”), and to purchase from the Company the respective numbers of Warrants set forth in Schedule II hereto opposite such Underwriter’s name at the purchase price set forth in Schedule I hereto (the “</w:t>
      </w:r>
      <w:r>
        <w:rPr>
          <w:rFonts w:ascii="Times New Roman" w:hAnsi="Times New Roman"/>
          <w:b/>
          <w:sz w:val="20"/>
        </w:rPr>
        <w:t>Warrant 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the number of Additional Shares set forth in Schedule I at the Share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the Prospectus.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On each day, if any, that Additional Shares are to be purchased (an “</w:t>
      </w:r>
      <w:r>
        <w:rPr>
          <w:rFonts w:ascii="Times New Roman" w:hAnsi="Times New Roman"/>
          <w:b/>
          <w:sz w:val="20"/>
        </w:rPr>
        <w:t>Option Closing Date</w:t>
      </w:r>
      <w:r>
        <w:rPr>
          <w:rFonts w:ascii="Times New Roman" w:hAnsi="Times New Roman"/>
          <w:sz w:val="20"/>
        </w:rPr>
        <w:t xml:space="preserve">”),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II hereto opposite the name of such Underwriter bears to the total number of Firm Shares.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Terms of Public Offering</w:t>
      </w:r>
      <w:r>
        <w:rPr>
          <w:rFonts w:ascii="Times New Roman" w:hAnsi="Times New Roman"/>
          <w:sz w:val="20"/>
        </w:rPr>
        <w:t xml:space="preserve">. The Company is advised by the Representatives that the Securities are to be offered to the public upon the terms set forth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Payment and Delivery</w:t>
      </w:r>
      <w:r>
        <w:rPr>
          <w:rFonts w:ascii="Times New Roman" w:hAnsi="Times New Roman"/>
          <w:sz w:val="20"/>
        </w:rPr>
        <w:t>. Payment for the Firm Shares shall be made to the Company in Federal or other United States funds immediately available in New York City on the closing date and time set forth in Schedule I hereto, or at such other time on the same or such other date, not later than the fifth business day thereafter, as may be designated in writing by the Representatives. The time and date of such payment are hereinafter referred to as the “</w:t>
      </w:r>
      <w:r>
        <w:rPr>
          <w:rFonts w:ascii="Times New Roman" w:hAnsi="Times New Roman"/>
          <w:b/>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the tenth business day thereafter, as may be designated in writing by the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Firm Shares and the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The Share Purchase Price payable by the Underwriters shall be reduced by (i) any transfer taxes paid by, or on behalf of, the Underwriters in connection with the transfer of the Shares to the Underwriters duly paid and (ii) any withholding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The Warrants shall be delivered by the Representatives in definitive form, registered in such names and in such denominations as the Representatives shall request in writing not later than the Closing Date. The Warrants will be made available for inspection by the Representatives on the business date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Company and the Representatives shall instruct purchasers of the Warrants in the public offering to make payment for the Warrants on the Closing Date to the Company by wire transfer in immediately available funds to the account specified by the Company at a purchase price of $8.9999 per Warrant, in lieu of payment by the Underwriters for such Warrants, and the Company shall deliver such Warrants to such purchasers on the Closing Date in definitive form against such payment, in lieu of the Company’s obligation to deliver such Warrants to the Underwriters; provided that, upon receipt by the Company of payment for the Warrants, the Company shall promptly (but in no event later than the Closing Date), pay $0.54 per such Warrant to the Underwriters by wire transfer in immediately available funds to the account specified by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purchaser of the Warrants in the public offering fails to make payment to the Company for all or part of the Warrants on the Closing Date, the Representatives may elect, by written notice to the Company, to receive shares of Common Stock at the Share Purchase Price in lieu of all or a portion of such Warrants to be delivered to the Underwriters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Conditions to the Underwriters’ Obligations</w:t>
      </w:r>
      <w:r>
        <w:rPr>
          <w:rFonts w:ascii="Times New Roman" w:hAnsi="Times New Roman"/>
          <w:sz w:val="20"/>
        </w:rPr>
        <w:t xml:space="preserve">. The several obligations of the Underwriters are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Subsequent to the execution and delivery of this Agreement and prior to the Closing Date there shall not have occurred any change, or any development involving a prospective change, in the condition, financial or otherwise, or in the earnings, business, operations or prospects of the Company and its subsidiaries, taken as a whole, from that set forth in the Time of Sale Prospectus that, in the Representatives’ judgment, is material and adverse and that makes it, in the Representatives’ judgment, impracticable to market the Securities on the terms and in the manner contemplated in the Time of Sale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Underwriters shall have received on the Closing Date a certificate, dated the Closing Date and signed by an executive officer of the Company, to the effect set forth in Section 5(a)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The officer signing and delivering such certificate may rely upon his or her knowledge as to proceedings threatened. </w:t>
      </w:r>
    </w:p>
    <w:p>
      <w:pPr>
        <w:pStyle w:val="TextBody"/>
        <w:bidi w:val="0"/>
        <w:spacing w:before="120" w:after="0"/>
        <w:jc w:val="left"/>
        <w:rPr>
          <w:rFonts w:ascii="Times New Roman" w:hAnsi="Times New Roman"/>
          <w:sz w:val="20"/>
        </w:rPr>
      </w:pPr>
      <w:r>
        <w:rPr>
          <w:rFonts w:ascii="Times New Roman" w:hAnsi="Times New Roman"/>
          <w:sz w:val="20"/>
        </w:rPr>
        <w:t xml:space="preserve">(c) The Underwriters shall have received on the Closing Date from Covington &amp; Burling LLP, outside counsel for the Company, an opinion, dated the Closing Date, in form and substance reasonably satisfactory to the Underwriters and their counsel. </w:t>
      </w:r>
    </w:p>
    <w:p>
      <w:pPr>
        <w:pStyle w:val="TextBody"/>
        <w:bidi w:val="0"/>
        <w:spacing w:before="120" w:after="0"/>
        <w:jc w:val="left"/>
        <w:rPr>
          <w:rFonts w:ascii="Times New Roman" w:hAnsi="Times New Roman"/>
          <w:sz w:val="20"/>
        </w:rPr>
      </w:pPr>
      <w:r>
        <w:rPr>
          <w:rFonts w:ascii="Times New Roman" w:hAnsi="Times New Roman"/>
          <w:sz w:val="20"/>
        </w:rPr>
        <w:t xml:space="preserve">(d) The Underwriters shall have received on the Closing Date an opinion of Cary Miller, Ph.D., J.D., Vice President, Intellectual Property of the Company, dated the Closing Date, in form and substance satisfactory to the Underwriters and their counsel. </w:t>
      </w:r>
    </w:p>
    <w:p>
      <w:pPr>
        <w:pStyle w:val="TextBody"/>
        <w:bidi w:val="0"/>
        <w:spacing w:before="120" w:after="0"/>
        <w:jc w:val="left"/>
        <w:rPr>
          <w:rFonts w:ascii="Times New Roman" w:hAnsi="Times New Roman"/>
          <w:sz w:val="20"/>
        </w:rPr>
      </w:pPr>
      <w:r>
        <w:rPr>
          <w:rFonts w:ascii="Times New Roman" w:hAnsi="Times New Roman"/>
          <w:sz w:val="20"/>
        </w:rPr>
        <w:t xml:space="preserve">(e) The Underwriters shall have received on the Closing Date opinions of McDermott Will &amp; Schulte LLP, regulatory counsel for the Company, dated the Closing Date, in form and substance satisfactory to the Underwriters and their counsel. </w:t>
      </w:r>
    </w:p>
    <w:p>
      <w:pPr>
        <w:pStyle w:val="TextBody"/>
        <w:bidi w:val="0"/>
        <w:spacing w:before="120" w:after="0"/>
        <w:jc w:val="left"/>
        <w:rPr>
          <w:rFonts w:ascii="Times New Roman" w:hAnsi="Times New Roman"/>
          <w:sz w:val="20"/>
        </w:rPr>
      </w:pPr>
      <w:r>
        <w:rPr>
          <w:rFonts w:ascii="Times New Roman" w:hAnsi="Times New Roman"/>
          <w:sz w:val="20"/>
        </w:rPr>
        <w:t xml:space="preserve">(f) The Underwriters shall have received on the Closing Date an opinion of Davis Polk &amp; Wardwell LLP, counsel for the Underwriters, dated the Closing Date, in form and substance satisfactory to the Underwriters, and such counsel shall have received such documents as information as they may reasonably request to enable them to pass upon such matters.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negative assurance provided by each of, Covington &amp; Burling LLP, McDermott Will &amp; Schulte LLP and Davis Polk &amp; Wardwell LLP, such counsel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 </w:t>
      </w:r>
    </w:p>
    <w:p>
      <w:pPr>
        <w:pStyle w:val="TextBody"/>
        <w:bidi w:val="0"/>
        <w:spacing w:before="120" w:after="0"/>
        <w:jc w:val="left"/>
        <w:rPr>
          <w:rFonts w:ascii="Times New Roman" w:hAnsi="Times New Roman"/>
          <w:sz w:val="20"/>
        </w:rPr>
      </w:pPr>
      <w:r>
        <w:rPr>
          <w:rFonts w:ascii="Times New Roman" w:hAnsi="Times New Roman"/>
          <w:sz w:val="20"/>
        </w:rPr>
        <w:t xml:space="preserve">(g) The Underwriters shall have received, on each of the date hereof and the Closing Date, a letter dated the date hereof or the Closing Date, as the case may be, in form and substance satisfactory to the Underwriters, from PricewaterhouseCoopers LLP, an independent registered public accounting firm,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provided that the letter delivered on the Closing Date shall use a “cut-off date” not earlier than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“lock-up” agreements, each substantially in the form of Exhibit A hereto, between the Representatives and certain stockholders, officers and directors of the Company relating to sales and certain other dispositions of shares of Common Stock or certain other securities, delivered to the Representatives on or before the date hereof, shall be in full force and effect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The Underwriters shall have received certificates from the Chief Financial Officer of the Company, dated the date hereof and the Closing Date, in form and substance reasonably satisfactory to the Representatives, on such matters as indicated and substantially in the form and substance set forth in Exhibit B hereto. </w:t>
      </w:r>
    </w:p>
    <w:p>
      <w:pPr>
        <w:pStyle w:val="TextBody"/>
        <w:bidi w:val="0"/>
        <w:spacing w:before="120" w:after="0"/>
        <w:jc w:val="left"/>
        <w:rPr>
          <w:rFonts w:ascii="Times New Roman" w:hAnsi="Times New Roman"/>
          <w:sz w:val="20"/>
        </w:rPr>
      </w:pPr>
      <w:r>
        <w:rPr>
          <w:rFonts w:ascii="Times New Roman" w:hAnsi="Times New Roman"/>
          <w:sz w:val="20"/>
        </w:rPr>
        <w:t xml:space="preserve">(j) The Representatives shall have received a form of Warrant in form and substance reasonably acceptable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(k) The several obligations of the Underwriters to purchase Additional Shares hereunder are subject to the delivery to the Representatives on the applicable Option Closing Date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certificate, dated the Option Closing Date and signed by an executive officer of the Company, confirming that the certificate delivered on the Closing Date pursuant to Section 5(b) hereof remains true and correct as of such Option Closing Date; </w:t>
      </w:r>
    </w:p>
    <w:p>
      <w:pPr>
        <w:pStyle w:val="TextBody"/>
        <w:bidi w:val="0"/>
        <w:spacing w:before="120" w:after="0"/>
        <w:jc w:val="left"/>
        <w:rPr>
          <w:rFonts w:ascii="Times New Roman" w:hAnsi="Times New Roman"/>
          <w:sz w:val="20"/>
        </w:rPr>
      </w:pPr>
      <w:r>
        <w:rPr>
          <w:rFonts w:ascii="Times New Roman" w:hAnsi="Times New Roman"/>
          <w:sz w:val="20"/>
        </w:rPr>
        <w:t xml:space="preserve">(ii) an opinion of Covington &amp; Burling LLP, outside counsel for the Company, dated the Option Closing Date, relating to the Additional Shares to be purchased on such Option Closing Date and otherwise to the same effect as the opinion required by Section 5(c) hereof; </w:t>
      </w:r>
    </w:p>
    <w:p>
      <w:pPr>
        <w:pStyle w:val="TextBody"/>
        <w:bidi w:val="0"/>
        <w:spacing w:before="120" w:after="0"/>
        <w:jc w:val="left"/>
        <w:rPr>
          <w:rFonts w:ascii="Times New Roman" w:hAnsi="Times New Roman"/>
          <w:sz w:val="20"/>
        </w:rPr>
      </w:pPr>
      <w:r>
        <w:rPr>
          <w:rFonts w:ascii="Times New Roman" w:hAnsi="Times New Roman"/>
          <w:sz w:val="20"/>
        </w:rPr>
        <w:t xml:space="preserve">(iii) an opinion of Cary Miller, Ph.D., J.D., Vice President, Intellectual Property of the Company, dated the Option Closing Date, relating to the Additional Shares to be purchased on such Option Closing Date and otherwise to the same effect as the opinion required by Section 5(d) hereof; </w:t>
      </w:r>
    </w:p>
    <w:p>
      <w:pPr>
        <w:pStyle w:val="TextBody"/>
        <w:bidi w:val="0"/>
        <w:spacing w:before="120" w:after="0"/>
        <w:jc w:val="left"/>
        <w:rPr>
          <w:rFonts w:ascii="Times New Roman" w:hAnsi="Times New Roman"/>
          <w:sz w:val="20"/>
        </w:rPr>
      </w:pPr>
      <w:r>
        <w:rPr>
          <w:rFonts w:ascii="Times New Roman" w:hAnsi="Times New Roman"/>
          <w:sz w:val="20"/>
        </w:rPr>
        <w:t xml:space="preserve">(iv) opinions of McDermott Will &amp; Schulte LLP, regulatory counsel for the Company, dated the Option Closing Date, relating to the Additional Shares to be purchased on such Option Closing Date and otherwise to the same effect as the opinion required by Section 5(e) hereof; </w:t>
      </w:r>
    </w:p>
    <w:p>
      <w:pPr>
        <w:pStyle w:val="TextBody"/>
        <w:bidi w:val="0"/>
        <w:spacing w:before="120" w:after="0"/>
        <w:jc w:val="left"/>
        <w:rPr>
          <w:rFonts w:ascii="Times New Roman" w:hAnsi="Times New Roman"/>
          <w:sz w:val="20"/>
        </w:rPr>
      </w:pPr>
      <w:r>
        <w:rPr>
          <w:rFonts w:ascii="Times New Roman" w:hAnsi="Times New Roman"/>
          <w:sz w:val="20"/>
        </w:rPr>
        <w:t xml:space="preserve">(v) an opinion of Davis Polk &amp; Wardwell LLP, counsel for the Underwriters, dated the Option Closing Date, relating to the Additional Shares to be purchased on such Option Closing Date and otherwise to the same effect as the opinion required by Section 5(f)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a letter dated the Option Closing Date, in form and substance satisfactory to the Underwriters, from PricewaterhouseCoopers LLP, independent registered public accounting firm, substantially in the same form and substance as the letter furnished to the Underwriters pursuant to Section 5(g) hereof; provided that the letter delivered on the Option Closing Date shall use a “cut-off date” not earlier than three business days prior to such Option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(vii) a certificate dated the Option Closing Date and signed by the Chief Financial Officer of the Company, confirming that the certificate delivered on the Closing Date pursuant to Section 5(i) hereof remains true and correct as of such Option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(viii) 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Covenants of the Company</w:t>
      </w:r>
      <w:r>
        <w:rPr>
          <w:rFonts w:ascii="Times New Roman" w:hAnsi="Times New Roman"/>
          <w:sz w:val="20"/>
        </w:rPr>
        <w:t xml:space="preserve">. The Company covenants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Upon request of the Representatives, to furnish to the Representatives, without charge, two signed copies of the Registration Statement (including exhibits thereto and documents incorporated by reference) and for delivery to each other Underwriter a conformed copy of the Registration Statement (without exhibits thereto and documents incorporated by reference) and to furnish to the Representatives in New York City, without charge, prior to 10:00 a.m. New York City time on the second business day succeeding the date of this Agreement and during the period mentioned in Section 6(e) or 6(f) below, as many copies of the Time of Sale Prospectus, the Prospectus, any documents incorporated by reference therein and any supplements and amendments thereto or to the Registration Statement as the Representatives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(b) Before amending or supplementing the Registration Statement, the Time of Sale Prospectus or the Prospectus, during such period as in the opinion of counsel for the Underwriters that the Prospectus (or in lieu thereof the notice referred to in Rule 173(a) of the Securities Act) is required by law to be delivered in connection with sales by an Underwriter or dealer (including in circumstances where such requirement may be satisfied pursuant to Rule 172 of the Securities Act),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furnish to the Representatives a copy of each proposed free writing prospectus to be prepared by or with the Company’s consent on behalf of, used by, or referred to by the Company and not to use or refer to any proposed free writing prospectus to which the Representatives reasonably object. </w:t>
      </w:r>
    </w:p>
    <w:p>
      <w:pPr>
        <w:pStyle w:val="TextBody"/>
        <w:bidi w:val="0"/>
        <w:spacing w:before="120" w:after="0"/>
        <w:jc w:val="left"/>
        <w:rPr>
          <w:rFonts w:ascii="Times New Roman" w:hAnsi="Times New Roman"/>
          <w:sz w:val="20"/>
        </w:rPr>
      </w:pPr>
      <w:r>
        <w:rPr>
          <w:rFonts w:ascii="Times New Roman" w:hAnsi="Times New Roman"/>
          <w:sz w:val="20"/>
        </w:rPr>
        <w:t xml:space="preserve">(d)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 </w:t>
      </w:r>
    </w:p>
    <w:p>
      <w:pPr>
        <w:pStyle w:val="TextBody"/>
        <w:bidi w:val="0"/>
        <w:spacing w:before="120" w:after="0"/>
        <w:jc w:val="left"/>
        <w:rPr>
          <w:rFonts w:ascii="Times New Roman" w:hAnsi="Times New Roman"/>
          <w:sz w:val="20"/>
        </w:rPr>
      </w:pPr>
      <w:r>
        <w:rPr>
          <w:rFonts w:ascii="Times New Roman" w:hAnsi="Times New Roman"/>
          <w:sz w:val="20"/>
        </w:rPr>
        <w:t xml:space="preserve">(e) 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under which they were made,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(f) If, during such period after the first date of the public offering of the Securities as in the opinion of counsel for the Underwriters the Prospectus (or in lieu thereof the notice referred to in Rule 173(a) of the Securities Act) is required by law to be delivered in connection with sales by an Underwriter or dealer (including in circumstances where such requirement may be satisfied pursuant to Rule 172),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Securities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To endeavor to qualify the Securities for offer and sale under the securities or Blue Sky laws of such jurisdictions as the Representatives shall reasonably request; provided that in connection therewith the Company shall not be required to qualify as a foreign corporation or to file a general consent to service of process in any jurisdiction. </w:t>
      </w:r>
    </w:p>
    <w:p>
      <w:pPr>
        <w:pStyle w:val="TextBody"/>
        <w:bidi w:val="0"/>
        <w:spacing w:before="120" w:after="0"/>
        <w:jc w:val="left"/>
        <w:rPr>
          <w:rFonts w:ascii="Times New Roman" w:hAnsi="Times New Roman"/>
          <w:sz w:val="20"/>
        </w:rPr>
      </w:pPr>
      <w:r>
        <w:rPr>
          <w:rFonts w:ascii="Times New Roman" w:hAnsi="Times New Roman"/>
          <w:sz w:val="20"/>
        </w:rPr>
        <w:t xml:space="preserve">(h) To make generally available to the Company’s security holders and to the Representatives,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(i) Whether or not the transactions contemplated in this Agreement are consummated or this Agreement is terminated, the Company agrees to pay or cause to be paid all expenses incident to the performance of its obligations under this Agreement, including: (i) the fees, disbursements and expenses of the Company’s counsel and the Company’s accountants incurred by the Company in connection with the registration and delivery of the Securities under the Securities Act and all other fees or expenses in connection with the preparation and filing of the Registration Statement, any preliminary prospectus, the Time of Sale Prospectus, the Prospectus, any free writing prospectus prepared by or with the Company’s consent on behalf of, used by, or referred to by the Company and amendments and supplements to any of the foregoing, including the filing fees payable to the Commission relating to the Securities, all printing costs associated therewith, and the mailing and delivering of copies thereof to the Underwriters and dealers, in the quantities hereinabove specified, (ii) all costs and expenses related to the transfer and delivery of the Securities to the Underwriters, including any transfer or other taxes payable thereon, (iii) the cost of printing or producing any Blue Sky or Legal Investment memorandum in connection with the offer and sale of the Securities under state securities laws and all reasonably incurred expenses in connection with the qualification of the Securities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Securities by FINRA, provided that the amount of such fees and disbursements of counsel to be paid by the Company under this subsection shall not exceed $5,000, (v) all costs and expenses incident to listing the Shares and the Warrant Shares on the Nasdaq Global Select Market, (vi) the cost of printing certificates representing the Securities, (vii) the costs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charges of any transfer agent, registrar or depositary, (viii) the costs and expenses of the Company relating to investor presentations on any “road show” undertaken in connection with the marketing of the offering of the Securities, including, without limitation, expenses associated with the production of road show slides and graphics, (ix) the costs of reproducing and distributing each of the Warrants;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11 below, the Underwriters will pay all of their costs and expenses, including fees and disbursements of their counsel, stock transfer taxes payable on resale of any of the Securities by them and any advertising expenses connected with any offers they may make. </w:t>
      </w:r>
    </w:p>
    <w:p>
      <w:pPr>
        <w:pStyle w:val="TextBody"/>
        <w:bidi w:val="0"/>
        <w:spacing w:before="120" w:after="0"/>
        <w:jc w:val="left"/>
        <w:rPr>
          <w:rFonts w:ascii="Times New Roman" w:hAnsi="Times New Roman"/>
          <w:sz w:val="20"/>
        </w:rPr>
      </w:pPr>
      <w:r>
        <w:rPr>
          <w:rFonts w:ascii="Times New Roman" w:hAnsi="Times New Roman"/>
          <w:sz w:val="20"/>
        </w:rPr>
        <w:t xml:space="preserve">(j) If the third anniversary of the initial effective date of the Registration Statement occurs before all the Securities have been sold by the Underwriters, prior to the third anniversary to file a new shelf registration statement and to take any other action necessary to permit the public offering of the Securities to continue without interruption; references herein to the Registration Statement shall include the new registration statement declared effective by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(k) The Company shall, at all times while any Warrants are outstanding, reserve and keep available out of the aggregate of its authorized but unissued and otherwise unreserved Common Stock, solely for the purpose of enabling it to issue Warrant Shares upon exercise of such Warrants, the number of Warrant Shares that are initially issuable and deliverable upon the exercise of the then-outstanding Warrants. </w:t>
      </w:r>
    </w:p>
    <w:p>
      <w:pPr>
        <w:pStyle w:val="TextBody"/>
        <w:bidi w:val="0"/>
        <w:spacing w:before="240" w:after="0"/>
        <w:jc w:val="left"/>
        <w:rPr>
          <w:rFonts w:ascii="Times New Roman" w:hAnsi="Times New Roman"/>
          <w:sz w:val="20"/>
        </w:rPr>
      </w:pPr>
      <w:r>
        <w:rPr>
          <w:rFonts w:ascii="Times New Roman" w:hAnsi="Times New Roman"/>
          <w:sz w:val="20"/>
        </w:rPr>
        <w:t>The Company also covenants with each Underwriter that, without the prior written consent of the Representatives on behalf of the Underwriters, it will not, during the period ending 60 days after the date of the Prospectus (the “</w:t>
      </w:r>
      <w:r>
        <w:rPr>
          <w:rFonts w:ascii="Times New Roman" w:hAnsi="Times New Roman"/>
          <w:b/>
          <w:sz w:val="20"/>
        </w:rPr>
        <w:t>Restricted Period</w:t>
      </w:r>
      <w:r>
        <w:rPr>
          <w:rFonts w:ascii="Times New Roman" w:hAnsi="Times New Roman"/>
          <w:sz w:val="20"/>
        </w:rPr>
        <w:t xml:space="preserve">”),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restrictions contained in the preceding paragraph shall not apply to (a) the Securities to be sold hereunder, (b) the issuance by the Company of shares of Common Stock or securities convertible into or exercisable for shares of Common Stock upon the exercise of an option or warrant or the conversion or vesting of a security outstanding on the date hereof and disclosed in the Registration Statement, Time of Sale Prospectus and Prospectus, (c) the issuance by the Company of shares of Common Stock or other securities convertible into or exercisable for shares of Common Stock pursuant to the Company’s equity incentive plans described in the Registration Statement, Time of Sale Prospectus and Prospectus, (d) the filing of one or more registration statements on Form S-8 with respect to the registration under the Securities Act of the offer and sale of shares of Common Stock or other securities convertible into or exercisable for shares of Common Stock pursuant to the Company’s equity incentive plans described in the Registration Statement, Time of Sale Prospectus and Prospectus and (e) the entry into an agreement providing for the issuance of shares of Common Stock or any security convertible into or exercisable for shares of Common Stock in connection with joint ventures, commercial relationships or other strategic transactions, and the issuance of any such securities pursuant to any such agreement, provided that the aggregate number of shares of Common Stock that the Company may sell or issue or agree to sell or issue, or that may be issuable upon conversion or exercise of all other securities that the Company may sell or issue or agree to sell or issue, pursuant to clause (e) shall not exceed 5% of the total number of shares of Common Stock issued and outstanding immediately following the completion of the transactions contemplated by this Agreement, and provided further, that each recipient of shares or other securities issued pursuant to clause (e) shall execute a lock-up agreement substantially in the form of Exhibit A hereto, and the Company shall enter stop transfer instructions with the Company’s transfer agent and registrar on such shares or other securities, which the Company agrees it will not waive or amend without the prior written consent of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Covenants of the Underwriters</w:t>
      </w:r>
      <w:r>
        <w:rPr>
          <w:rFonts w:ascii="Times New Roman" w:hAnsi="Times New Roman"/>
          <w:sz w:val="20"/>
        </w:rPr>
        <w:t xml:space="preserve">. Each Underwriter severally covenants with the Company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Indemnity and Contribution</w:t>
      </w:r>
      <w:r>
        <w:rPr>
          <w:rFonts w:ascii="Times New Roman" w:hAnsi="Times New Roman"/>
          <w:sz w:val="20"/>
        </w:rPr>
        <w:t>. (a) 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Times New Roman" w:hAnsi="Times New Roman"/>
          <w:b/>
          <w:sz w:val="20"/>
        </w:rPr>
        <w:t>road show</w:t>
      </w:r>
      <w:r>
        <w:rPr>
          <w:rFonts w:ascii="Times New Roman" w:hAnsi="Times New Roman"/>
          <w:sz w:val="20"/>
        </w:rPr>
        <w:t xml:space="preserve">”), or the Prospectus or any amendment or supplement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alleged untrue statement or omission based upon information relating to any Underwriter furnished to the Company in writing by or on behalf of such Underwriter through the Representatives expressly for use therein, it being understood and agreed that the only such information furnished by or on behalf of the Underwriters through the Representatives consists of the information described in paragraph (b) below. </w:t>
      </w:r>
    </w:p>
    <w:p>
      <w:pPr>
        <w:pStyle w:val="TextBody"/>
        <w:bidi w:val="0"/>
        <w:spacing w:before="120" w:after="0"/>
        <w:jc w:val="left"/>
        <w:rPr>
          <w:rFonts w:ascii="Times New Roman" w:hAnsi="Times New Roman"/>
          <w:sz w:val="20"/>
        </w:rPr>
      </w:pPr>
      <w:r>
        <w:rPr>
          <w:rFonts w:ascii="Times New Roman" w:hAnsi="Times New Roman"/>
          <w:sz w:val="20"/>
        </w:rPr>
        <w:t xml:space="preserve">(b) Each Underwriter agrees, severally and not jointly, to indemnify and hold harmless the Company, the directors of the Company, the officers of the Company who sign the Registration Statement and each person, if any, who controls the Company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or the Prospectus or any amendment or supplement thereto, or caused by any omission or alleged omission to state therein a material fact required to be stated therein or necessary to make the statements therein not misleading, but only with reference to information relating to such Underwriter furnished to the Company in writing by or on behalf of such Underwriter through the Representatives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or on behalf of any Underwriter through the Representatives consists of the following information in the Prospectus furnished on behalf of each Underwriter: the concession and reallowance figures in the third paragraph under the caption “Underwriting” and the information contained in the thirteenth paragraph describing passive market making and stabilization under the caption “Underwriting”. </w:t>
      </w:r>
    </w:p>
    <w:p>
      <w:pPr>
        <w:pStyle w:val="TextBody"/>
        <w:bidi w:val="0"/>
        <w:spacing w:before="120" w:after="0"/>
        <w:jc w:val="left"/>
        <w:rPr>
          <w:rFonts w:ascii="Times New Roman" w:hAnsi="Times New Roman"/>
          <w:sz w:val="20"/>
        </w:rPr>
      </w:pPr>
      <w:r>
        <w:rPr>
          <w:rFonts w:ascii="Times New Roman" w:hAnsi="Times New Roman"/>
          <w:sz w:val="20"/>
        </w:rPr>
        <w:t>(c) In case any proceeding (including any governmental investigation) shall be instituted involving any person in respect of which indemnity may be sought pursuant to Section 8(a) or 8(b), such person (the “</w:t>
      </w:r>
      <w:r>
        <w:rPr>
          <w:rFonts w:ascii="Times New Roman" w:hAnsi="Times New Roman"/>
          <w:b/>
          <w:sz w:val="20"/>
        </w:rPr>
        <w:t>indemnified party</w:t>
      </w:r>
      <w:r>
        <w:rPr>
          <w:rFonts w:ascii="Times New Roman" w:hAnsi="Times New Roman"/>
          <w:sz w:val="20"/>
        </w:rPr>
        <w:t>”) shall promptly notify the person against whom such indemnity may be sought (the “</w:t>
      </w:r>
      <w:r>
        <w:rPr>
          <w:rFonts w:ascii="Times New Roman" w:hAnsi="Times New Roman"/>
          <w:b/>
          <w:sz w:val="20"/>
        </w:rPr>
        <w:t>indemnifying party</w:t>
      </w:r>
      <w:r>
        <w:rPr>
          <w:rFonts w:ascii="Times New Roman" w:hAnsi="Times New Roman"/>
          <w:sz w:val="20"/>
        </w:rPr>
        <w:t xml:space="preserve">”) in writing; </w:t>
      </w:r>
      <w:r>
        <w:rPr>
          <w:rFonts w:ascii="Times New Roman" w:hAnsi="Times New Roman"/>
          <w:i/>
          <w:sz w:val="20"/>
        </w:rPr>
        <w:t>provided</w:t>
      </w:r>
      <w:r>
        <w:rPr>
          <w:rFonts w:ascii="Times New Roman" w:hAnsi="Times New Roman"/>
          <w:sz w:val="20"/>
        </w:rPr>
        <w:t xml:space="preserve"> that the failure to notify the indemnifying party shall not relieve it from any liability that it may have under the preceding paragraphs of this Section 8 except to the extent that it has been materially prejudiced (through the forfeiture of substantive rights or defenses) by such failure; and </w:t>
      </w:r>
      <w:r>
        <w:rPr>
          <w:rFonts w:ascii="Times New Roman" w:hAnsi="Times New Roman"/>
          <w:i/>
          <w:sz w:val="20"/>
        </w:rPr>
        <w:t>provided further</w:t>
      </w:r>
      <w:r>
        <w:rPr>
          <w:rFonts w:ascii="Times New Roman" w:hAnsi="Times New Roman"/>
          <w:sz w:val="20"/>
        </w:rPr>
        <w:t xml:space="preserve"> that the failure to notify the indemnifying party shall not relieve it from any liability that it may have to an indemnified party otherwise than under the preceding paragraphs of this Section 8. The indemnifying party, upon request of the indemnified party, shall retain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indemnified party shall have reasonably concluded that there may be legal defenses available to it which are different from or additional to those available to the indemnifying party. It is understood that the indemnifying party shall not, in respect of the reasonably incurred legal expenses of any indemnified party in connection with any proceeding or related proceedings in the same jurisdiction, be liable for (i) the fees and expenses of more than one separate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 and (ii) the fees and expenses of more than one separate firm (in addition to any local counsel) for the Company, its directors, its officers who sign the Registration Statement and each person, if any, who controls the Company within the meaning of either such Section. In the case of any such separate firm for the Underwriters and such control persons and affiliates of any Underwriters, such firm shall be designated in writing by the Representatives.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45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(x) includes an unconditional release of such indemnified party from all liability on claims that are the subject matter of such proceeding and (y) does not include a statement as to or an admission of fault, culpability or a failure to act, by or on behalf of an indemnified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and the total underwriting discounts and commissions received by the Underwriters, bear to the aggregate public offering price of the Securities set forth in the Prospectus.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Securities they have purchased hereunder, and not joint. </w:t>
      </w:r>
    </w:p>
    <w:p>
      <w:pPr>
        <w:pStyle w:val="TextBody"/>
        <w:bidi w:val="0"/>
        <w:spacing w:before="120" w:after="0"/>
        <w:jc w:val="left"/>
        <w:rPr>
          <w:rFonts w:ascii="Times New Roman" w:hAnsi="Times New Roman"/>
          <w:sz w:val="20"/>
        </w:rPr>
      </w:pPr>
      <w:r>
        <w:rPr>
          <w:rFonts w:ascii="Times New Roman" w:hAnsi="Times New Roman"/>
          <w:sz w:val="20"/>
        </w:rPr>
        <w:t xml:space="preserve">(e) The Company and the Underwriters agree that it would not be just or equitable if contribution pursuant to this Section 8 were determined by pro rata allocation (even if the Underwriters were treated as one entity for such purpose) or by any other method of allocation that does not take account of the equitable considerations referred to in Section 8(c). The amount paid or payable by an indemnified party as a result of the losses, claims, damages and liabilities referred to in Section 8(c)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Securities underwritten by it and distributed to the public were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(f) 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9. [Reserved]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Termination</w:t>
      </w:r>
      <w:r>
        <w:rPr>
          <w:rFonts w:ascii="Times New Roman" w:hAnsi="Times New Roman"/>
          <w:sz w:val="20"/>
        </w:rPr>
        <w:t xml:space="preserve">. The Representatives, on behalf of the Underwriters, may terminate this Agreement by notice given by the Representatives to the Company, if after the execution and delivery of this Agreement and prior to the Closing Date (i) trading generally shall have been suspended or materially limited on, or by, as the case may be, any of the New York Stock Exchange, the NYSE MKT or the Nasdaq Global Select Market,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Securities on the terms and in the manner contemplated in the Time of Sale Prospectus or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Effectiveness; Defaulting Underwriters</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If, on the Closing Date or an Option Closing Date, as the case may be, any one or more of the Underwriters shall fail or refuse to purchase Securities that it has or they have agreed to purchase hereunder on such date, and the aggregate number of Securities which such defaulting Underwriter or Underwriters agreed but failed or refused to purchase is not more than one-tenth of the aggregate number of the Securities to be purchased on such date, the other Underwriters shall be obligated severally in the proportions that the number of Securities set forth opposite their respective names in Schedule I bears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aggregate number of Securities set forth opposite the names of all such non-defaulting Underwriters, or in such other proportions as the Representatives may specify, to purchase the Securities which such defaulting Underwriter or Underwriters agreed but failed or refused to purchase on such date; </w:t>
      </w:r>
      <w:r>
        <w:rPr>
          <w:rFonts w:ascii="Times New Roman" w:hAnsi="Times New Roman"/>
          <w:i/>
          <w:sz w:val="20"/>
        </w:rPr>
        <w:t>provided</w:t>
      </w:r>
      <w:r>
        <w:rPr>
          <w:rFonts w:ascii="Times New Roman" w:hAnsi="Times New Roman"/>
          <w:sz w:val="20"/>
        </w:rPr>
        <w:t xml:space="preserve"> that in no event shall the number of Securities that any Underwriter has agreed to purchase pursuant to this Agreement be increased pursuant to this Section 11 by an amount in excess of one-ninth of such number of Securities without the written consent of such Underwriter. If, on the Closing Date, any Underwriter or Underwriters shall fail or refuse to purchase Securities and the aggregate number of Securities with respect to which such default occurs is more than one-tenth of the aggregate number of Securities to be purchased on such date, and arrangements satisfactory to the Representatives and the Company for the purchase of such Securities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reasonable fees and disbursements of their counsel) reasonably incurred by such Underwriters in connection with this Agreement or the offering contemplated hereunder.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Entire Agreement</w:t>
      </w:r>
      <w:r>
        <w:rPr>
          <w:rFonts w:ascii="Times New Roman" w:hAnsi="Times New Roman"/>
          <w:sz w:val="20"/>
        </w:rPr>
        <w:t xml:space="preserve">. (a) This Agreement, together with any contemporaneous written agreements and any prior written agreements (to the extent not superseded by this Agreement) that relate to the offering of the Securities, represents the entire agreement between the Company, on the one hand, and the Underwriters, on the other, with respect to the preparation of any preliminary prospectus, the Time of Sale Prospectus, the Prospectus, the conduct of the offering, and the purchase and sale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acknowledges that in connection with the offering of the Securities: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Counterparts</w:t>
      </w:r>
      <w:r>
        <w:rPr>
          <w:rFonts w:ascii="Times New Roman" w:hAnsi="Times New Roman"/>
          <w:sz w:val="20"/>
        </w:rPr>
        <w:t xml:space="preserve">. This Agreement may be signed in two or more counterparts, each of which shall be an original, with the same effect as if the signatures thereto and hereto were upon the same instrument. The words “execution,” “signed,” “signature,” and words of like import in this Agreement or in any other certificate, agreement or document related to this Agreement, if any,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Applicable Law</w:t>
      </w:r>
      <w:r>
        <w:rPr>
          <w:rFonts w:ascii="Times New Roman" w:hAnsi="Times New Roman"/>
          <w:sz w:val="20"/>
        </w:rPr>
        <w:t xml:space="preserve">. This Agreement and any claim, controversy or dispute arising under or related to this Agreement shall be governed by and construed in accordance with the internal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Headings</w:t>
      </w:r>
      <w:r>
        <w:rPr>
          <w:rFonts w:ascii="Times New Roman" w:hAnsi="Times New Roman"/>
          <w:sz w:val="20"/>
        </w:rPr>
        <w:t xml:space="preserve">. The headings of the sections of this Agreement have been inserted for convenience of reference only and shall not be deemed a 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Notices</w:t>
      </w:r>
      <w:r>
        <w:rPr>
          <w:rFonts w:ascii="Times New Roman" w:hAnsi="Times New Roman"/>
          <w:sz w:val="20"/>
        </w:rPr>
        <w:t xml:space="preserve">. All communications hereunder shall be in writing and effective only upon receipt and if to the Underwriters shall be delivered, mailed or sent to you at the address set forth in Schedule I hereto; if to the Company shall be delivered, mailed or sent to the address set forth in Schedule I hereto.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i/>
          <w:sz w:val="20"/>
        </w:rPr>
        <w:t xml:space="preserve">Waiver of Jury Trial. </w:t>
      </w:r>
      <w:r>
        <w:rPr>
          <w:rFonts w:ascii="Times New Roman" w:hAnsi="Times New Roman"/>
          <w:sz w:val="20"/>
        </w:rPr>
        <w:t xml:space="preserve">Each of the parties hereto hereby irrevocably waive,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18. Recognition of the U.S. Special Resolution Regimes.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Section: </w:t>
      </w:r>
    </w:p>
    <w:p>
      <w:pPr>
        <w:pStyle w:val="TextBody"/>
        <w:bidi w:val="0"/>
        <w:spacing w:before="120" w:after="0"/>
        <w:jc w:val="left"/>
        <w:rPr/>
      </w:pPr>
      <w:r>
        <w:rPr/>
        <w:t>“</w:t>
      </w:r>
      <w:r>
        <w:rPr>
          <w:rFonts w:ascii="Times New Roman" w:hAnsi="Times New Roman"/>
          <w:sz w:val="20"/>
        </w:rPr>
        <w:t xml:space="preserve">BHC Act Affiliate” has the meaning assigned to the term “affiliate” in, and shall be interpreted in accordance with, 12 U.S.C. § 1841(k). </w:t>
      </w:r>
    </w:p>
    <w:p>
      <w:pPr>
        <w:pStyle w:val="TextBody"/>
        <w:bidi w:val="0"/>
        <w:spacing w:before="120" w:after="0"/>
        <w:jc w:val="left"/>
        <w:rPr/>
      </w:pPr>
      <w:r>
        <w:rPr/>
        <w:t>“</w:t>
      </w:r>
      <w:r>
        <w:rPr>
          <w:rFonts w:ascii="Times New Roman" w:hAnsi="Times New Roman"/>
          <w:sz w:val="20"/>
        </w:rPr>
        <w:t xml:space="preserve">Covered Entity”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120" w:after="0"/>
        <w:jc w:val="left"/>
        <w:rPr/>
      </w:pPr>
      <w:r>
        <w:rPr/>
        <w:t>“</w:t>
      </w:r>
      <w:r>
        <w:rPr>
          <w:rFonts w:ascii="Times New Roman" w:hAnsi="Times New Roman"/>
          <w:sz w:val="20"/>
        </w:rPr>
        <w:t xml:space="preserve">Default Right”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sz w:val="20"/>
        </w:rPr>
        <w:t xml:space="preserve">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REGENXBIO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Patrick J. Christmas</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Patrick J. Christmas</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Chief Legal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Accepted as of the date hereof</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MORGAN STANLEY &amp; CO. LLC</w:t>
            </w:r>
          </w:p>
        </w:tc>
      </w:tr>
      <w:tr>
        <w:trPr/>
        <w:tc>
          <w:tcPr>
            <w:tcW w:w="10205" w:type="dxa"/>
            <w:tcBorders/>
          </w:tcPr>
          <w:p>
            <w:pPr>
              <w:pStyle w:val="TableContents"/>
              <w:bidi w:val="0"/>
              <w:spacing w:before="0" w:after="283"/>
              <w:jc w:val="left"/>
              <w:rPr/>
            </w:pPr>
            <w:r>
              <w:rPr/>
              <w:t>J.P. MORGAN SECURITIES LLC</w:t>
            </w:r>
          </w:p>
        </w:tc>
      </w:tr>
      <w:tr>
        <w:trPr/>
        <w:tc>
          <w:tcPr>
            <w:tcW w:w="10205" w:type="dxa"/>
            <w:tcBorders/>
          </w:tcPr>
          <w:p>
            <w:pPr>
              <w:pStyle w:val="TableContents"/>
              <w:bidi w:val="0"/>
              <w:spacing w:before="0" w:after="283"/>
              <w:jc w:val="left"/>
              <w:rPr/>
            </w:pPr>
            <w:r>
              <w:rPr/>
              <w:t>LEERINK PARTNERS LLC</w:t>
            </w:r>
          </w:p>
        </w:tc>
      </w:tr>
      <w:tr>
        <w:trPr/>
        <w:tc>
          <w:tcPr>
            <w:tcW w:w="10205" w:type="dxa"/>
            <w:tcBorders/>
          </w:tcPr>
          <w:p>
            <w:pPr>
              <w:pStyle w:val="TableContents"/>
              <w:bidi w:val="0"/>
              <w:spacing w:before="0" w:after="283"/>
              <w:jc w:val="left"/>
              <w:rPr/>
            </w:pPr>
            <w:r>
              <w:rPr/>
              <w:t>MIZUHO SECURITIES USA LLC</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Acting severally on behalf of themselves and the several Underwriters named in Schedule II hereto</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Morgan Stanley &amp; Co. LLC.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 Rigoli</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Name: Chris Rigoli</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Title: Managing Director</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J.P. Morgan Securities LLC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Ben Burdett</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Name: Ben Burdett</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Title: Head of Healthcare ECM</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Leerink Partners LLC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Anurag Jindal</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Name: Anurag Jindal</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Title: Senior Managing Director</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Mizuho Securities USA LLC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Arun Master</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Name: Arun Master</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Title: Managing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71"/>
        <w:gridCol w:w="120"/>
        <w:gridCol w:w="6214"/>
      </w:tblGrid>
      <w:tr>
        <w:trPr/>
        <w:tc>
          <w:tcPr>
            <w:tcW w:w="38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214" w:type="dxa"/>
            <w:tcBorders/>
            <w:vAlign w:val="center"/>
          </w:tcPr>
          <w:p>
            <w:pPr>
              <w:pStyle w:val="TableContents"/>
              <w:bidi w:val="0"/>
              <w:spacing w:before="0" w:after="283"/>
              <w:jc w:val="left"/>
              <w:rPr>
                <w:sz w:val="4"/>
                <w:szCs w:val="4"/>
              </w:rPr>
            </w:pPr>
            <w:r>
              <w:rPr>
                <w:sz w:val="4"/>
                <w:szCs w:val="4"/>
              </w:rPr>
            </w:r>
          </w:p>
        </w:tc>
      </w:tr>
      <w:tr>
        <w:trPr/>
        <w:tc>
          <w:tcPr>
            <w:tcW w:w="3871" w:type="dxa"/>
            <w:tcBorders/>
          </w:tcPr>
          <w:p>
            <w:pPr>
              <w:pStyle w:val="TableContents"/>
              <w:bidi w:val="0"/>
              <w:spacing w:before="0" w:after="283"/>
              <w:jc w:val="left"/>
              <w:rPr/>
            </w:pPr>
            <w:r>
              <w:rPr/>
              <w:t>Representatives:</w:t>
            </w:r>
          </w:p>
        </w:tc>
        <w:tc>
          <w:tcPr>
            <w:tcW w:w="120" w:type="dxa"/>
            <w:tcBorders/>
            <w:vAlign w:val="bottom"/>
          </w:tcPr>
          <w:p>
            <w:pPr>
              <w:pStyle w:val="TableContents"/>
              <w:bidi w:val="0"/>
              <w:spacing w:before="0" w:after="283"/>
              <w:jc w:val="left"/>
              <w:rPr/>
            </w:pPr>
            <w:r>
              <w:rPr/>
              <w:t>  </w:t>
            </w:r>
          </w:p>
        </w:tc>
        <w:tc>
          <w:tcPr>
            <w:tcW w:w="6214"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Leerink Partners LLC</w:t>
            </w:r>
          </w:p>
          <w:p>
            <w:pPr>
              <w:pStyle w:val="TableContents"/>
              <w:bidi w:val="0"/>
              <w:spacing w:before="0" w:after="20"/>
              <w:jc w:val="left"/>
              <w:rPr>
                <w:rFonts w:ascii="Times New Roman" w:hAnsi="Times New Roman"/>
                <w:sz w:val="20"/>
              </w:rPr>
            </w:pPr>
            <w:r>
              <w:rPr>
                <w:rFonts w:ascii="Times New Roman" w:hAnsi="Times New Roman"/>
                <w:sz w:val="20"/>
              </w:rPr>
              <w:t>Mizuho Securities USA LLC</w:t>
            </w:r>
          </w:p>
        </w:tc>
      </w:tr>
      <w:tr>
        <w:trPr>
          <w:trHeight w:val="120" w:hRule="atLeast"/>
        </w:trPr>
        <w:tc>
          <w:tcPr>
            <w:tcW w:w="3871" w:type="dxa"/>
            <w:tcBorders/>
            <w:vAlign w:val="center"/>
          </w:tcPr>
          <w:p>
            <w:pPr>
              <w:pStyle w:val="TableContents"/>
              <w:bidi w:val="0"/>
              <w:spacing w:before="0" w:after="283"/>
              <w:jc w:val="left"/>
              <w:rPr>
                <w:sz w:val="4"/>
                <w:szCs w:val="4"/>
              </w:rPr>
            </w:pPr>
            <w:r>
              <w:rPr>
                <w:sz w:val="4"/>
                <w:szCs w:val="4"/>
              </w:rPr>
            </w:r>
          </w:p>
        </w:tc>
        <w:tc>
          <w:tcPr>
            <w:tcW w:w="6334" w:type="dxa"/>
            <w:gridSpan w:val="2"/>
            <w:tcBorders/>
            <w:vAlign w:val="center"/>
          </w:tcPr>
          <w:p>
            <w:pPr>
              <w:pStyle w:val="TableContents"/>
              <w:bidi w:val="0"/>
              <w:spacing w:before="0" w:after="283"/>
              <w:jc w:val="left"/>
              <w:rPr>
                <w:sz w:val="4"/>
                <w:szCs w:val="4"/>
              </w:rPr>
            </w:pPr>
            <w:r>
              <w:rPr>
                <w:sz w:val="4"/>
                <w:szCs w:val="4"/>
              </w:rPr>
            </w:r>
          </w:p>
        </w:tc>
      </w:tr>
      <w:tr>
        <w:trPr/>
        <w:tc>
          <w:tcPr>
            <w:tcW w:w="3871" w:type="dxa"/>
            <w:tcBorders/>
          </w:tcPr>
          <w:p>
            <w:pPr>
              <w:pStyle w:val="TableContents"/>
              <w:bidi w:val="0"/>
              <w:spacing w:before="0" w:after="283"/>
              <w:jc w:val="left"/>
              <w:rPr/>
            </w:pPr>
            <w:r>
              <w:rPr/>
              <w:t>Registration Statement File No.:</w:t>
            </w:r>
          </w:p>
        </w:tc>
        <w:tc>
          <w:tcPr>
            <w:tcW w:w="120" w:type="dxa"/>
            <w:tcBorders/>
            <w:vAlign w:val="bottom"/>
          </w:tcPr>
          <w:p>
            <w:pPr>
              <w:pStyle w:val="TableContents"/>
              <w:bidi w:val="0"/>
              <w:spacing w:before="0" w:after="283"/>
              <w:jc w:val="left"/>
              <w:rPr/>
            </w:pPr>
            <w:r>
              <w:rPr/>
              <w:t>  </w:t>
            </w:r>
          </w:p>
        </w:tc>
        <w:tc>
          <w:tcPr>
            <w:tcW w:w="6214" w:type="dxa"/>
            <w:tcBorders/>
          </w:tcPr>
          <w:p>
            <w:pPr>
              <w:pStyle w:val="TableContents"/>
              <w:bidi w:val="0"/>
              <w:spacing w:before="0" w:after="283"/>
              <w:jc w:val="left"/>
              <w:rPr/>
            </w:pPr>
            <w:r>
              <w:rPr/>
              <w:t>333-291816</w:t>
            </w:r>
          </w:p>
        </w:tc>
      </w:tr>
      <w:tr>
        <w:trPr>
          <w:trHeight w:val="120" w:hRule="atLeast"/>
        </w:trPr>
        <w:tc>
          <w:tcPr>
            <w:tcW w:w="3871" w:type="dxa"/>
            <w:tcBorders/>
            <w:vAlign w:val="center"/>
          </w:tcPr>
          <w:p>
            <w:pPr>
              <w:pStyle w:val="TableContents"/>
              <w:bidi w:val="0"/>
              <w:spacing w:before="0" w:after="283"/>
              <w:jc w:val="left"/>
              <w:rPr>
                <w:sz w:val="4"/>
                <w:szCs w:val="4"/>
              </w:rPr>
            </w:pPr>
            <w:r>
              <w:rPr>
                <w:sz w:val="4"/>
                <w:szCs w:val="4"/>
              </w:rPr>
            </w:r>
          </w:p>
        </w:tc>
        <w:tc>
          <w:tcPr>
            <w:tcW w:w="6334" w:type="dxa"/>
            <w:gridSpan w:val="2"/>
            <w:tcBorders/>
            <w:vAlign w:val="center"/>
          </w:tcPr>
          <w:p>
            <w:pPr>
              <w:pStyle w:val="TableContents"/>
              <w:bidi w:val="0"/>
              <w:spacing w:before="0" w:after="283"/>
              <w:jc w:val="left"/>
              <w:rPr>
                <w:sz w:val="4"/>
                <w:szCs w:val="4"/>
              </w:rPr>
            </w:pPr>
            <w:r>
              <w:rPr>
                <w:sz w:val="4"/>
                <w:szCs w:val="4"/>
              </w:rPr>
            </w:r>
          </w:p>
        </w:tc>
      </w:tr>
      <w:tr>
        <w:trPr/>
        <w:tc>
          <w:tcPr>
            <w:tcW w:w="3871" w:type="dxa"/>
            <w:tcBorders/>
          </w:tcPr>
          <w:p>
            <w:pPr>
              <w:pStyle w:val="TableContents"/>
              <w:bidi w:val="0"/>
              <w:spacing w:before="0" w:after="283"/>
              <w:jc w:val="left"/>
              <w:rPr/>
            </w:pPr>
            <w:r>
              <w:rPr/>
              <w:t>Time of Sale Prospectus</w:t>
            </w:r>
          </w:p>
        </w:tc>
        <w:tc>
          <w:tcPr>
            <w:tcW w:w="120" w:type="dxa"/>
            <w:tcBorders/>
            <w:vAlign w:val="bottom"/>
          </w:tcPr>
          <w:p>
            <w:pPr>
              <w:pStyle w:val="TableContents"/>
              <w:bidi w:val="0"/>
              <w:spacing w:before="0" w:after="283"/>
              <w:jc w:val="left"/>
              <w:rPr/>
            </w:pPr>
            <w:r>
              <w:rPr/>
              <w:t>  </w:t>
            </w:r>
          </w:p>
        </w:tc>
        <w:tc>
          <w:tcPr>
            <w:tcW w:w="6214" w:type="dxa"/>
            <w:tcBorders/>
          </w:tcPr>
          <w:p>
            <w:pPr>
              <w:pStyle w:val="TableContents"/>
              <w:bidi w:val="0"/>
              <w:spacing w:before="0" w:after="0"/>
              <w:jc w:val="left"/>
              <w:rPr>
                <w:rFonts w:ascii="Times New Roman" w:hAnsi="Times New Roman"/>
                <w:sz w:val="20"/>
              </w:rPr>
            </w:pPr>
            <w:r>
              <w:rPr>
                <w:rFonts w:ascii="Times New Roman" w:hAnsi="Times New Roman"/>
                <w:sz w:val="20"/>
              </w:rPr>
              <w:t>1.  Prospectus dated December 12, 2025, relating to the Shelf Securities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2.  The preliminary prospectus supplement dated July 16, 2026 relating to the Shares and the Warrant Shares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3.  Free writing prospectus dated July 16, 2026</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4.  The Company is selling 10,003,889 shares of Common Stock</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5.  The price to the public per share of Common Stock is $9.00</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6.  The Company has granted to the Underwriters the right to purchase up to an additional 1,667,250 shares of Common Stock</w:t>
            </w:r>
          </w:p>
        </w:tc>
      </w:tr>
      <w:tr>
        <w:trPr>
          <w:trHeight w:val="120" w:hRule="atLeast"/>
        </w:trPr>
        <w:tc>
          <w:tcPr>
            <w:tcW w:w="3871" w:type="dxa"/>
            <w:tcBorders/>
            <w:vAlign w:val="center"/>
          </w:tcPr>
          <w:p>
            <w:pPr>
              <w:pStyle w:val="TableContents"/>
              <w:bidi w:val="0"/>
              <w:spacing w:before="0" w:after="283"/>
              <w:jc w:val="left"/>
              <w:rPr>
                <w:sz w:val="4"/>
                <w:szCs w:val="4"/>
              </w:rPr>
            </w:pPr>
            <w:r>
              <w:rPr>
                <w:sz w:val="4"/>
                <w:szCs w:val="4"/>
              </w:rPr>
            </w:r>
          </w:p>
        </w:tc>
        <w:tc>
          <w:tcPr>
            <w:tcW w:w="6334" w:type="dxa"/>
            <w:gridSpan w:val="2"/>
            <w:tcBorders/>
            <w:vAlign w:val="center"/>
          </w:tcPr>
          <w:p>
            <w:pPr>
              <w:pStyle w:val="TableContents"/>
              <w:bidi w:val="0"/>
              <w:spacing w:before="0" w:after="283"/>
              <w:jc w:val="left"/>
              <w:rPr>
                <w:sz w:val="4"/>
                <w:szCs w:val="4"/>
              </w:rPr>
            </w:pPr>
            <w:r>
              <w:rPr>
                <w:sz w:val="4"/>
                <w:szCs w:val="4"/>
              </w:rPr>
            </w:r>
          </w:p>
        </w:tc>
      </w:tr>
      <w:tr>
        <w:trPr/>
        <w:tc>
          <w:tcPr>
            <w:tcW w:w="3871" w:type="dxa"/>
            <w:tcBorders/>
          </w:tcPr>
          <w:p>
            <w:pPr>
              <w:pStyle w:val="TableContents"/>
              <w:bidi w:val="0"/>
              <w:spacing w:before="0" w:after="283"/>
              <w:jc w:val="left"/>
              <w:rPr/>
            </w:pPr>
            <w:r>
              <w:rPr/>
              <w:t>Lock-up Restricted Period:</w:t>
            </w:r>
          </w:p>
        </w:tc>
        <w:tc>
          <w:tcPr>
            <w:tcW w:w="120" w:type="dxa"/>
            <w:tcBorders/>
            <w:vAlign w:val="bottom"/>
          </w:tcPr>
          <w:p>
            <w:pPr>
              <w:pStyle w:val="TableContents"/>
              <w:bidi w:val="0"/>
              <w:spacing w:before="0" w:after="283"/>
              <w:jc w:val="left"/>
              <w:rPr/>
            </w:pPr>
            <w:r>
              <w:rPr/>
              <w:t>  </w:t>
            </w:r>
          </w:p>
        </w:tc>
        <w:tc>
          <w:tcPr>
            <w:tcW w:w="6214" w:type="dxa"/>
            <w:tcBorders/>
          </w:tcPr>
          <w:p>
            <w:pPr>
              <w:pStyle w:val="TableContents"/>
              <w:bidi w:val="0"/>
              <w:spacing w:before="0" w:after="283"/>
              <w:jc w:val="left"/>
              <w:rPr/>
            </w:pPr>
            <w:r>
              <w:rPr/>
              <w:t>60 days</w:t>
            </w:r>
          </w:p>
        </w:tc>
      </w:tr>
      <w:tr>
        <w:trPr>
          <w:trHeight w:val="120" w:hRule="atLeast"/>
        </w:trPr>
        <w:tc>
          <w:tcPr>
            <w:tcW w:w="3871" w:type="dxa"/>
            <w:tcBorders/>
            <w:vAlign w:val="center"/>
          </w:tcPr>
          <w:p>
            <w:pPr>
              <w:pStyle w:val="TableContents"/>
              <w:bidi w:val="0"/>
              <w:spacing w:before="0" w:after="283"/>
              <w:jc w:val="left"/>
              <w:rPr>
                <w:sz w:val="4"/>
                <w:szCs w:val="4"/>
              </w:rPr>
            </w:pPr>
            <w:r>
              <w:rPr>
                <w:sz w:val="4"/>
                <w:szCs w:val="4"/>
              </w:rPr>
            </w:r>
          </w:p>
        </w:tc>
        <w:tc>
          <w:tcPr>
            <w:tcW w:w="6334" w:type="dxa"/>
            <w:gridSpan w:val="2"/>
            <w:tcBorders/>
            <w:vAlign w:val="center"/>
          </w:tcPr>
          <w:p>
            <w:pPr>
              <w:pStyle w:val="TableContents"/>
              <w:bidi w:val="0"/>
              <w:spacing w:before="0" w:after="283"/>
              <w:jc w:val="left"/>
              <w:rPr>
                <w:sz w:val="4"/>
                <w:szCs w:val="4"/>
              </w:rPr>
            </w:pPr>
            <w:r>
              <w:rPr>
                <w:sz w:val="4"/>
                <w:szCs w:val="4"/>
              </w:rPr>
            </w:r>
          </w:p>
        </w:tc>
      </w:tr>
      <w:tr>
        <w:trPr/>
        <w:tc>
          <w:tcPr>
            <w:tcW w:w="3871" w:type="dxa"/>
            <w:tcBorders/>
          </w:tcPr>
          <w:p>
            <w:pPr>
              <w:pStyle w:val="TableContents"/>
              <w:bidi w:val="0"/>
              <w:spacing w:before="0" w:after="283"/>
              <w:jc w:val="left"/>
              <w:rPr/>
            </w:pPr>
            <w:r>
              <w:rPr/>
              <w:t>Title of Shares to be purchased:</w:t>
            </w:r>
          </w:p>
        </w:tc>
        <w:tc>
          <w:tcPr>
            <w:tcW w:w="120" w:type="dxa"/>
            <w:tcBorders/>
            <w:vAlign w:val="bottom"/>
          </w:tcPr>
          <w:p>
            <w:pPr>
              <w:pStyle w:val="TableContents"/>
              <w:bidi w:val="0"/>
              <w:spacing w:before="0" w:after="283"/>
              <w:jc w:val="left"/>
              <w:rPr/>
            </w:pPr>
            <w:r>
              <w:rPr/>
              <w:t>  </w:t>
            </w:r>
          </w:p>
        </w:tc>
        <w:tc>
          <w:tcPr>
            <w:tcW w:w="6214" w:type="dxa"/>
            <w:tcBorders/>
          </w:tcPr>
          <w:p>
            <w:pPr>
              <w:pStyle w:val="TableContents"/>
              <w:bidi w:val="0"/>
              <w:spacing w:before="0" w:after="283"/>
              <w:jc w:val="left"/>
              <w:rPr/>
            </w:pPr>
            <w:r>
              <w:rPr/>
              <w:t>common stock, par value $0.0001 per share and pre-funded warrants</w:t>
            </w:r>
          </w:p>
        </w:tc>
      </w:tr>
      <w:tr>
        <w:trPr>
          <w:trHeight w:val="120" w:hRule="atLeast"/>
        </w:trPr>
        <w:tc>
          <w:tcPr>
            <w:tcW w:w="3871" w:type="dxa"/>
            <w:tcBorders/>
            <w:vAlign w:val="center"/>
          </w:tcPr>
          <w:p>
            <w:pPr>
              <w:pStyle w:val="TableContents"/>
              <w:bidi w:val="0"/>
              <w:spacing w:before="0" w:after="283"/>
              <w:jc w:val="left"/>
              <w:rPr>
                <w:sz w:val="4"/>
                <w:szCs w:val="4"/>
              </w:rPr>
            </w:pPr>
            <w:r>
              <w:rPr>
                <w:sz w:val="4"/>
                <w:szCs w:val="4"/>
              </w:rPr>
            </w:r>
          </w:p>
        </w:tc>
        <w:tc>
          <w:tcPr>
            <w:tcW w:w="6334" w:type="dxa"/>
            <w:gridSpan w:val="2"/>
            <w:tcBorders/>
            <w:vAlign w:val="center"/>
          </w:tcPr>
          <w:p>
            <w:pPr>
              <w:pStyle w:val="TableContents"/>
              <w:bidi w:val="0"/>
              <w:spacing w:before="0" w:after="283"/>
              <w:jc w:val="left"/>
              <w:rPr>
                <w:sz w:val="4"/>
                <w:szCs w:val="4"/>
              </w:rPr>
            </w:pPr>
            <w:r>
              <w:rPr>
                <w:sz w:val="4"/>
                <w:szCs w:val="4"/>
              </w:rPr>
            </w:r>
          </w:p>
        </w:tc>
      </w:tr>
      <w:tr>
        <w:trPr/>
        <w:tc>
          <w:tcPr>
            <w:tcW w:w="3871" w:type="dxa"/>
            <w:tcBorders/>
          </w:tcPr>
          <w:p>
            <w:pPr>
              <w:pStyle w:val="TableContents"/>
              <w:bidi w:val="0"/>
              <w:spacing w:before="0" w:after="283"/>
              <w:jc w:val="left"/>
              <w:rPr/>
            </w:pPr>
            <w:r>
              <w:rPr/>
              <w:t>Number of Firm Shares:</w:t>
            </w:r>
          </w:p>
        </w:tc>
        <w:tc>
          <w:tcPr>
            <w:tcW w:w="120" w:type="dxa"/>
            <w:tcBorders/>
            <w:vAlign w:val="bottom"/>
          </w:tcPr>
          <w:p>
            <w:pPr>
              <w:pStyle w:val="TableContents"/>
              <w:bidi w:val="0"/>
              <w:spacing w:before="0" w:after="283"/>
              <w:jc w:val="left"/>
              <w:rPr/>
            </w:pPr>
            <w:r>
              <w:rPr/>
              <w:t>  </w:t>
            </w:r>
          </w:p>
        </w:tc>
        <w:tc>
          <w:tcPr>
            <w:tcW w:w="6214" w:type="dxa"/>
            <w:tcBorders/>
          </w:tcPr>
          <w:p>
            <w:pPr>
              <w:pStyle w:val="TableContents"/>
              <w:bidi w:val="0"/>
              <w:spacing w:before="0" w:after="283"/>
              <w:jc w:val="left"/>
              <w:rPr/>
            </w:pPr>
            <w:r>
              <w:rPr/>
              <w:t>10,003,889</w:t>
            </w:r>
          </w:p>
        </w:tc>
      </w:tr>
      <w:tr>
        <w:trPr>
          <w:trHeight w:val="120" w:hRule="atLeast"/>
        </w:trPr>
        <w:tc>
          <w:tcPr>
            <w:tcW w:w="3871" w:type="dxa"/>
            <w:tcBorders/>
            <w:vAlign w:val="center"/>
          </w:tcPr>
          <w:p>
            <w:pPr>
              <w:pStyle w:val="TableContents"/>
              <w:bidi w:val="0"/>
              <w:spacing w:before="0" w:after="283"/>
              <w:jc w:val="left"/>
              <w:rPr>
                <w:sz w:val="4"/>
                <w:szCs w:val="4"/>
              </w:rPr>
            </w:pPr>
            <w:r>
              <w:rPr>
                <w:sz w:val="4"/>
                <w:szCs w:val="4"/>
              </w:rPr>
            </w:r>
          </w:p>
        </w:tc>
        <w:tc>
          <w:tcPr>
            <w:tcW w:w="6334" w:type="dxa"/>
            <w:gridSpan w:val="2"/>
            <w:tcBorders/>
            <w:vAlign w:val="center"/>
          </w:tcPr>
          <w:p>
            <w:pPr>
              <w:pStyle w:val="TableContents"/>
              <w:bidi w:val="0"/>
              <w:spacing w:before="0" w:after="283"/>
              <w:jc w:val="left"/>
              <w:rPr>
                <w:sz w:val="4"/>
                <w:szCs w:val="4"/>
              </w:rPr>
            </w:pPr>
            <w:r>
              <w:rPr>
                <w:sz w:val="4"/>
                <w:szCs w:val="4"/>
              </w:rPr>
            </w:r>
          </w:p>
        </w:tc>
      </w:tr>
      <w:tr>
        <w:trPr/>
        <w:tc>
          <w:tcPr>
            <w:tcW w:w="3871" w:type="dxa"/>
            <w:tcBorders/>
          </w:tcPr>
          <w:p>
            <w:pPr>
              <w:pStyle w:val="TableContents"/>
              <w:bidi w:val="0"/>
              <w:spacing w:before="0" w:after="283"/>
              <w:jc w:val="left"/>
              <w:rPr/>
            </w:pPr>
            <w:r>
              <w:rPr/>
              <w:t>Number of Additional Shares</w:t>
            </w:r>
          </w:p>
        </w:tc>
        <w:tc>
          <w:tcPr>
            <w:tcW w:w="120" w:type="dxa"/>
            <w:tcBorders/>
            <w:vAlign w:val="bottom"/>
          </w:tcPr>
          <w:p>
            <w:pPr>
              <w:pStyle w:val="TableContents"/>
              <w:bidi w:val="0"/>
              <w:spacing w:before="0" w:after="283"/>
              <w:jc w:val="left"/>
              <w:rPr/>
            </w:pPr>
            <w:r>
              <w:rPr/>
              <w:t>  </w:t>
            </w:r>
          </w:p>
        </w:tc>
        <w:tc>
          <w:tcPr>
            <w:tcW w:w="6214" w:type="dxa"/>
            <w:tcBorders/>
          </w:tcPr>
          <w:p>
            <w:pPr>
              <w:pStyle w:val="TableContents"/>
              <w:bidi w:val="0"/>
              <w:spacing w:before="0" w:after="283"/>
              <w:jc w:val="left"/>
              <w:rPr/>
            </w:pPr>
            <w:r>
              <w:rPr/>
              <w:t>1,667,250</w:t>
            </w:r>
          </w:p>
        </w:tc>
      </w:tr>
      <w:tr>
        <w:trPr>
          <w:trHeight w:val="120" w:hRule="atLeast"/>
        </w:trPr>
        <w:tc>
          <w:tcPr>
            <w:tcW w:w="3871" w:type="dxa"/>
            <w:tcBorders/>
            <w:vAlign w:val="center"/>
          </w:tcPr>
          <w:p>
            <w:pPr>
              <w:pStyle w:val="TableContents"/>
              <w:bidi w:val="0"/>
              <w:spacing w:before="0" w:after="283"/>
              <w:jc w:val="left"/>
              <w:rPr>
                <w:sz w:val="4"/>
                <w:szCs w:val="4"/>
              </w:rPr>
            </w:pPr>
            <w:r>
              <w:rPr>
                <w:sz w:val="4"/>
                <w:szCs w:val="4"/>
              </w:rPr>
            </w:r>
          </w:p>
        </w:tc>
        <w:tc>
          <w:tcPr>
            <w:tcW w:w="6334" w:type="dxa"/>
            <w:gridSpan w:val="2"/>
            <w:tcBorders/>
            <w:vAlign w:val="center"/>
          </w:tcPr>
          <w:p>
            <w:pPr>
              <w:pStyle w:val="TableContents"/>
              <w:bidi w:val="0"/>
              <w:spacing w:before="0" w:after="283"/>
              <w:jc w:val="left"/>
              <w:rPr>
                <w:sz w:val="4"/>
                <w:szCs w:val="4"/>
              </w:rPr>
            </w:pPr>
            <w:r>
              <w:rPr>
                <w:sz w:val="4"/>
                <w:szCs w:val="4"/>
              </w:rPr>
            </w:r>
          </w:p>
        </w:tc>
      </w:tr>
      <w:tr>
        <w:trPr/>
        <w:tc>
          <w:tcPr>
            <w:tcW w:w="3871" w:type="dxa"/>
            <w:tcBorders/>
          </w:tcPr>
          <w:p>
            <w:pPr>
              <w:pStyle w:val="TableContents"/>
              <w:bidi w:val="0"/>
              <w:spacing w:before="0" w:after="283"/>
              <w:jc w:val="left"/>
              <w:rPr/>
            </w:pPr>
            <w:r>
              <w:rPr/>
              <w:t>Number of Warrants</w:t>
            </w:r>
          </w:p>
        </w:tc>
        <w:tc>
          <w:tcPr>
            <w:tcW w:w="120" w:type="dxa"/>
            <w:tcBorders/>
            <w:vAlign w:val="bottom"/>
          </w:tcPr>
          <w:p>
            <w:pPr>
              <w:pStyle w:val="TableContents"/>
              <w:bidi w:val="0"/>
              <w:spacing w:before="0" w:after="283"/>
              <w:jc w:val="left"/>
              <w:rPr/>
            </w:pPr>
            <w:r>
              <w:rPr/>
              <w:t>  </w:t>
            </w:r>
          </w:p>
        </w:tc>
        <w:tc>
          <w:tcPr>
            <w:tcW w:w="6214" w:type="dxa"/>
            <w:tcBorders/>
          </w:tcPr>
          <w:p>
            <w:pPr>
              <w:pStyle w:val="TableContents"/>
              <w:bidi w:val="0"/>
              <w:spacing w:before="0" w:after="283"/>
              <w:jc w:val="left"/>
              <w:rPr/>
            </w:pPr>
            <w:r>
              <w:rPr/>
              <w:t>1,111,111</w:t>
            </w:r>
          </w:p>
        </w:tc>
      </w:tr>
      <w:tr>
        <w:trPr>
          <w:trHeight w:val="120" w:hRule="atLeast"/>
        </w:trPr>
        <w:tc>
          <w:tcPr>
            <w:tcW w:w="3871" w:type="dxa"/>
            <w:tcBorders/>
            <w:vAlign w:val="center"/>
          </w:tcPr>
          <w:p>
            <w:pPr>
              <w:pStyle w:val="TableContents"/>
              <w:bidi w:val="0"/>
              <w:spacing w:before="0" w:after="283"/>
              <w:jc w:val="left"/>
              <w:rPr>
                <w:sz w:val="4"/>
                <w:szCs w:val="4"/>
              </w:rPr>
            </w:pPr>
            <w:r>
              <w:rPr>
                <w:sz w:val="4"/>
                <w:szCs w:val="4"/>
              </w:rPr>
            </w:r>
          </w:p>
        </w:tc>
        <w:tc>
          <w:tcPr>
            <w:tcW w:w="6334" w:type="dxa"/>
            <w:gridSpan w:val="2"/>
            <w:tcBorders/>
            <w:vAlign w:val="center"/>
          </w:tcPr>
          <w:p>
            <w:pPr>
              <w:pStyle w:val="TableContents"/>
              <w:bidi w:val="0"/>
              <w:spacing w:before="0" w:after="283"/>
              <w:jc w:val="left"/>
              <w:rPr>
                <w:sz w:val="4"/>
                <w:szCs w:val="4"/>
              </w:rPr>
            </w:pPr>
            <w:r>
              <w:rPr>
                <w:sz w:val="4"/>
                <w:szCs w:val="4"/>
              </w:rPr>
            </w:r>
          </w:p>
        </w:tc>
      </w:tr>
      <w:tr>
        <w:trPr/>
        <w:tc>
          <w:tcPr>
            <w:tcW w:w="3871" w:type="dxa"/>
            <w:tcBorders/>
          </w:tcPr>
          <w:p>
            <w:pPr>
              <w:pStyle w:val="TableContents"/>
              <w:bidi w:val="0"/>
              <w:spacing w:before="0" w:after="283"/>
              <w:jc w:val="left"/>
              <w:rPr/>
            </w:pPr>
            <w:r>
              <w:rPr/>
              <w:t>Share Purchase Price:</w:t>
            </w:r>
          </w:p>
        </w:tc>
        <w:tc>
          <w:tcPr>
            <w:tcW w:w="120" w:type="dxa"/>
            <w:tcBorders/>
            <w:vAlign w:val="bottom"/>
          </w:tcPr>
          <w:p>
            <w:pPr>
              <w:pStyle w:val="TableContents"/>
              <w:bidi w:val="0"/>
              <w:spacing w:before="0" w:after="283"/>
              <w:jc w:val="left"/>
              <w:rPr/>
            </w:pPr>
            <w:r>
              <w:rPr/>
              <w:t>  </w:t>
            </w:r>
          </w:p>
        </w:tc>
        <w:tc>
          <w:tcPr>
            <w:tcW w:w="6214" w:type="dxa"/>
            <w:tcBorders/>
          </w:tcPr>
          <w:p>
            <w:pPr>
              <w:pStyle w:val="TableContents"/>
              <w:bidi w:val="0"/>
              <w:spacing w:before="0" w:after="283"/>
              <w:jc w:val="left"/>
              <w:rPr/>
            </w:pPr>
            <w:r>
              <w:rPr/>
              <w:t>$8.46 a share</w:t>
            </w:r>
          </w:p>
        </w:tc>
      </w:tr>
      <w:tr>
        <w:trPr>
          <w:trHeight w:val="120" w:hRule="atLeast"/>
        </w:trPr>
        <w:tc>
          <w:tcPr>
            <w:tcW w:w="3871" w:type="dxa"/>
            <w:tcBorders/>
            <w:vAlign w:val="center"/>
          </w:tcPr>
          <w:p>
            <w:pPr>
              <w:pStyle w:val="TableContents"/>
              <w:bidi w:val="0"/>
              <w:spacing w:before="0" w:after="283"/>
              <w:jc w:val="left"/>
              <w:rPr>
                <w:sz w:val="4"/>
                <w:szCs w:val="4"/>
              </w:rPr>
            </w:pPr>
            <w:r>
              <w:rPr>
                <w:sz w:val="4"/>
                <w:szCs w:val="4"/>
              </w:rPr>
            </w:r>
          </w:p>
        </w:tc>
        <w:tc>
          <w:tcPr>
            <w:tcW w:w="6334" w:type="dxa"/>
            <w:gridSpan w:val="2"/>
            <w:tcBorders/>
            <w:vAlign w:val="center"/>
          </w:tcPr>
          <w:p>
            <w:pPr>
              <w:pStyle w:val="TableContents"/>
              <w:bidi w:val="0"/>
              <w:spacing w:before="0" w:after="283"/>
              <w:jc w:val="left"/>
              <w:rPr>
                <w:sz w:val="4"/>
                <w:szCs w:val="4"/>
              </w:rPr>
            </w:pPr>
            <w:r>
              <w:rPr>
                <w:sz w:val="4"/>
                <w:szCs w:val="4"/>
              </w:rPr>
            </w:r>
          </w:p>
        </w:tc>
      </w:tr>
      <w:tr>
        <w:trPr/>
        <w:tc>
          <w:tcPr>
            <w:tcW w:w="3871" w:type="dxa"/>
            <w:tcBorders/>
          </w:tcPr>
          <w:p>
            <w:pPr>
              <w:pStyle w:val="TableContents"/>
              <w:bidi w:val="0"/>
              <w:spacing w:before="0" w:after="283"/>
              <w:jc w:val="left"/>
              <w:rPr/>
            </w:pPr>
            <w:r>
              <w:rPr/>
              <w:t>Warrant Purchase Price:</w:t>
            </w:r>
          </w:p>
        </w:tc>
        <w:tc>
          <w:tcPr>
            <w:tcW w:w="120" w:type="dxa"/>
            <w:tcBorders/>
            <w:vAlign w:val="bottom"/>
          </w:tcPr>
          <w:p>
            <w:pPr>
              <w:pStyle w:val="TableContents"/>
              <w:bidi w:val="0"/>
              <w:spacing w:before="0" w:after="283"/>
              <w:jc w:val="left"/>
              <w:rPr/>
            </w:pPr>
            <w:r>
              <w:rPr/>
              <w:t>  </w:t>
            </w:r>
          </w:p>
        </w:tc>
        <w:tc>
          <w:tcPr>
            <w:tcW w:w="6214" w:type="dxa"/>
            <w:tcBorders/>
          </w:tcPr>
          <w:p>
            <w:pPr>
              <w:pStyle w:val="TableContents"/>
              <w:bidi w:val="0"/>
              <w:spacing w:before="0" w:after="283"/>
              <w:jc w:val="left"/>
              <w:rPr/>
            </w:pPr>
            <w:r>
              <w:rPr/>
              <w:t>$8.4599 per warrant</w:t>
            </w:r>
          </w:p>
        </w:tc>
      </w:tr>
      <w:tr>
        <w:trPr>
          <w:trHeight w:val="120" w:hRule="atLeast"/>
        </w:trPr>
        <w:tc>
          <w:tcPr>
            <w:tcW w:w="3871" w:type="dxa"/>
            <w:tcBorders/>
            <w:vAlign w:val="center"/>
          </w:tcPr>
          <w:p>
            <w:pPr>
              <w:pStyle w:val="TableContents"/>
              <w:bidi w:val="0"/>
              <w:spacing w:before="0" w:after="283"/>
              <w:jc w:val="left"/>
              <w:rPr>
                <w:sz w:val="4"/>
                <w:szCs w:val="4"/>
              </w:rPr>
            </w:pPr>
            <w:r>
              <w:rPr>
                <w:sz w:val="4"/>
                <w:szCs w:val="4"/>
              </w:rPr>
            </w:r>
          </w:p>
        </w:tc>
        <w:tc>
          <w:tcPr>
            <w:tcW w:w="6334" w:type="dxa"/>
            <w:gridSpan w:val="2"/>
            <w:tcBorders/>
            <w:vAlign w:val="center"/>
          </w:tcPr>
          <w:p>
            <w:pPr>
              <w:pStyle w:val="TableContents"/>
              <w:bidi w:val="0"/>
              <w:spacing w:before="0" w:after="283"/>
              <w:jc w:val="left"/>
              <w:rPr>
                <w:sz w:val="4"/>
                <w:szCs w:val="4"/>
              </w:rPr>
            </w:pPr>
            <w:r>
              <w:rPr>
                <w:sz w:val="4"/>
                <w:szCs w:val="4"/>
              </w:rPr>
            </w:r>
          </w:p>
        </w:tc>
      </w:tr>
      <w:tr>
        <w:trPr/>
        <w:tc>
          <w:tcPr>
            <w:tcW w:w="3871" w:type="dxa"/>
            <w:tcBorders/>
          </w:tcPr>
          <w:p>
            <w:pPr>
              <w:pStyle w:val="TableContents"/>
              <w:bidi w:val="0"/>
              <w:spacing w:before="0" w:after="283"/>
              <w:jc w:val="left"/>
              <w:rPr/>
            </w:pPr>
            <w:r>
              <w:rPr/>
              <w:t>Public Offering Price of Shares:</w:t>
            </w:r>
          </w:p>
        </w:tc>
        <w:tc>
          <w:tcPr>
            <w:tcW w:w="120" w:type="dxa"/>
            <w:tcBorders/>
            <w:vAlign w:val="bottom"/>
          </w:tcPr>
          <w:p>
            <w:pPr>
              <w:pStyle w:val="TableContents"/>
              <w:bidi w:val="0"/>
              <w:spacing w:before="0" w:after="283"/>
              <w:jc w:val="left"/>
              <w:rPr/>
            </w:pPr>
            <w:r>
              <w:rPr/>
              <w:t>  </w:t>
            </w:r>
          </w:p>
        </w:tc>
        <w:tc>
          <w:tcPr>
            <w:tcW w:w="6214" w:type="dxa"/>
            <w:tcBorders/>
          </w:tcPr>
          <w:p>
            <w:pPr>
              <w:pStyle w:val="TableContents"/>
              <w:bidi w:val="0"/>
              <w:spacing w:before="0" w:after="283"/>
              <w:jc w:val="left"/>
              <w:rPr/>
            </w:pPr>
            <w:r>
              <w:rPr/>
              <w:t>$9.00 a share</w:t>
            </w:r>
          </w:p>
        </w:tc>
      </w:tr>
      <w:tr>
        <w:trPr>
          <w:trHeight w:val="120" w:hRule="atLeast"/>
        </w:trPr>
        <w:tc>
          <w:tcPr>
            <w:tcW w:w="3871" w:type="dxa"/>
            <w:tcBorders/>
            <w:vAlign w:val="center"/>
          </w:tcPr>
          <w:p>
            <w:pPr>
              <w:pStyle w:val="TableContents"/>
              <w:bidi w:val="0"/>
              <w:spacing w:before="0" w:after="283"/>
              <w:jc w:val="left"/>
              <w:rPr>
                <w:sz w:val="4"/>
                <w:szCs w:val="4"/>
              </w:rPr>
            </w:pPr>
            <w:r>
              <w:rPr>
                <w:sz w:val="4"/>
                <w:szCs w:val="4"/>
              </w:rPr>
            </w:r>
          </w:p>
        </w:tc>
        <w:tc>
          <w:tcPr>
            <w:tcW w:w="6334" w:type="dxa"/>
            <w:gridSpan w:val="2"/>
            <w:tcBorders/>
            <w:vAlign w:val="center"/>
          </w:tcPr>
          <w:p>
            <w:pPr>
              <w:pStyle w:val="TableContents"/>
              <w:bidi w:val="0"/>
              <w:spacing w:before="0" w:after="283"/>
              <w:jc w:val="left"/>
              <w:rPr>
                <w:sz w:val="4"/>
                <w:szCs w:val="4"/>
              </w:rPr>
            </w:pPr>
            <w:r>
              <w:rPr>
                <w:sz w:val="4"/>
                <w:szCs w:val="4"/>
              </w:rPr>
            </w:r>
          </w:p>
        </w:tc>
      </w:tr>
      <w:tr>
        <w:trPr/>
        <w:tc>
          <w:tcPr>
            <w:tcW w:w="3871" w:type="dxa"/>
            <w:tcBorders/>
          </w:tcPr>
          <w:p>
            <w:pPr>
              <w:pStyle w:val="TableContents"/>
              <w:bidi w:val="0"/>
              <w:spacing w:before="0" w:after="283"/>
              <w:jc w:val="left"/>
              <w:rPr/>
            </w:pPr>
            <w:r>
              <w:rPr/>
              <w:t>Public Offering Price of Warrants:</w:t>
            </w:r>
          </w:p>
        </w:tc>
        <w:tc>
          <w:tcPr>
            <w:tcW w:w="120" w:type="dxa"/>
            <w:tcBorders/>
            <w:vAlign w:val="bottom"/>
          </w:tcPr>
          <w:p>
            <w:pPr>
              <w:pStyle w:val="TableContents"/>
              <w:bidi w:val="0"/>
              <w:spacing w:before="0" w:after="283"/>
              <w:jc w:val="left"/>
              <w:rPr/>
            </w:pPr>
            <w:r>
              <w:rPr/>
              <w:t>  </w:t>
            </w:r>
          </w:p>
        </w:tc>
        <w:tc>
          <w:tcPr>
            <w:tcW w:w="6214" w:type="dxa"/>
            <w:tcBorders/>
          </w:tcPr>
          <w:p>
            <w:pPr>
              <w:pStyle w:val="TableContents"/>
              <w:bidi w:val="0"/>
              <w:spacing w:before="0" w:after="283"/>
              <w:jc w:val="left"/>
              <w:rPr/>
            </w:pPr>
            <w:r>
              <w:rPr/>
              <w:t>$8.9999 per warrant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773"/>
        <w:gridCol w:w="121"/>
        <w:gridCol w:w="6311"/>
      </w:tblGrid>
      <w:tr>
        <w:trPr/>
        <w:tc>
          <w:tcPr>
            <w:tcW w:w="377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31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773" w:type="dxa"/>
            <w:tcBorders/>
            <w:vAlign w:val="center"/>
          </w:tcPr>
          <w:p>
            <w:pPr>
              <w:pStyle w:val="TableContents"/>
              <w:bidi w:val="0"/>
              <w:spacing w:before="0" w:after="283"/>
              <w:jc w:val="left"/>
              <w:rPr>
                <w:sz w:val="4"/>
                <w:szCs w:val="4"/>
              </w:rPr>
            </w:pPr>
            <w:r>
              <w:rPr>
                <w:sz w:val="4"/>
                <w:szCs w:val="4"/>
              </w:rPr>
            </w:r>
          </w:p>
        </w:tc>
        <w:tc>
          <w:tcPr>
            <w:tcW w:w="6432" w:type="dxa"/>
            <w:gridSpan w:val="2"/>
            <w:tcBorders/>
            <w:vAlign w:val="center"/>
          </w:tcPr>
          <w:p>
            <w:pPr>
              <w:pStyle w:val="TableContents"/>
              <w:bidi w:val="0"/>
              <w:spacing w:before="0" w:after="283"/>
              <w:jc w:val="left"/>
              <w:rPr>
                <w:sz w:val="4"/>
                <w:szCs w:val="4"/>
              </w:rPr>
            </w:pPr>
            <w:r>
              <w:rPr>
                <w:sz w:val="4"/>
                <w:szCs w:val="4"/>
              </w:rPr>
            </w:r>
          </w:p>
        </w:tc>
      </w:tr>
      <w:tr>
        <w:trPr/>
        <w:tc>
          <w:tcPr>
            <w:tcW w:w="3773" w:type="dxa"/>
            <w:tcBorders/>
          </w:tcPr>
          <w:p>
            <w:pPr>
              <w:pStyle w:val="TableContents"/>
              <w:bidi w:val="0"/>
              <w:spacing w:before="0" w:after="283"/>
              <w:jc w:val="left"/>
              <w:rPr/>
            </w:pPr>
            <w:r>
              <w:rPr/>
              <w:t>Selling Concession:</w:t>
            </w:r>
          </w:p>
        </w:tc>
        <w:tc>
          <w:tcPr>
            <w:tcW w:w="121" w:type="dxa"/>
            <w:tcBorders/>
            <w:vAlign w:val="bottom"/>
          </w:tcPr>
          <w:p>
            <w:pPr>
              <w:pStyle w:val="TableContents"/>
              <w:bidi w:val="0"/>
              <w:spacing w:before="0" w:after="283"/>
              <w:jc w:val="left"/>
              <w:rPr/>
            </w:pPr>
            <w:r>
              <w:rPr/>
              <w:t>  </w:t>
            </w:r>
          </w:p>
        </w:tc>
        <w:tc>
          <w:tcPr>
            <w:tcW w:w="6311" w:type="dxa"/>
            <w:tcBorders/>
          </w:tcPr>
          <w:p>
            <w:pPr>
              <w:pStyle w:val="TableContents"/>
              <w:bidi w:val="0"/>
              <w:spacing w:before="0" w:after="283"/>
              <w:jc w:val="left"/>
              <w:rPr/>
            </w:pPr>
            <w:r>
              <w:rPr/>
              <w:t>$0.3240 a share/warrant</w:t>
            </w:r>
          </w:p>
        </w:tc>
      </w:tr>
      <w:tr>
        <w:trPr>
          <w:trHeight w:val="120" w:hRule="atLeast"/>
        </w:trPr>
        <w:tc>
          <w:tcPr>
            <w:tcW w:w="3773" w:type="dxa"/>
            <w:tcBorders/>
            <w:vAlign w:val="center"/>
          </w:tcPr>
          <w:p>
            <w:pPr>
              <w:pStyle w:val="TableContents"/>
              <w:bidi w:val="0"/>
              <w:spacing w:before="0" w:after="283"/>
              <w:jc w:val="left"/>
              <w:rPr>
                <w:sz w:val="4"/>
                <w:szCs w:val="4"/>
              </w:rPr>
            </w:pPr>
            <w:r>
              <w:rPr>
                <w:sz w:val="4"/>
                <w:szCs w:val="4"/>
              </w:rPr>
            </w:r>
          </w:p>
        </w:tc>
        <w:tc>
          <w:tcPr>
            <w:tcW w:w="6432" w:type="dxa"/>
            <w:gridSpan w:val="2"/>
            <w:tcBorders/>
            <w:vAlign w:val="center"/>
          </w:tcPr>
          <w:p>
            <w:pPr>
              <w:pStyle w:val="TableContents"/>
              <w:bidi w:val="0"/>
              <w:spacing w:before="0" w:after="283"/>
              <w:jc w:val="left"/>
              <w:rPr>
                <w:sz w:val="4"/>
                <w:szCs w:val="4"/>
              </w:rPr>
            </w:pPr>
            <w:r>
              <w:rPr>
                <w:sz w:val="4"/>
                <w:szCs w:val="4"/>
              </w:rPr>
            </w:r>
          </w:p>
        </w:tc>
      </w:tr>
      <w:tr>
        <w:trPr/>
        <w:tc>
          <w:tcPr>
            <w:tcW w:w="3773" w:type="dxa"/>
            <w:tcBorders/>
          </w:tcPr>
          <w:p>
            <w:pPr>
              <w:pStyle w:val="TableContents"/>
              <w:bidi w:val="0"/>
              <w:spacing w:before="0" w:after="283"/>
              <w:jc w:val="left"/>
              <w:rPr/>
            </w:pPr>
            <w:r>
              <w:rPr/>
              <w:t>Closing Date and Time:</w:t>
            </w:r>
          </w:p>
        </w:tc>
        <w:tc>
          <w:tcPr>
            <w:tcW w:w="121" w:type="dxa"/>
            <w:tcBorders/>
            <w:vAlign w:val="bottom"/>
          </w:tcPr>
          <w:p>
            <w:pPr>
              <w:pStyle w:val="TableContents"/>
              <w:bidi w:val="0"/>
              <w:spacing w:before="0" w:after="283"/>
              <w:jc w:val="left"/>
              <w:rPr/>
            </w:pPr>
            <w:r>
              <w:rPr/>
              <w:t>  </w:t>
            </w:r>
          </w:p>
        </w:tc>
        <w:tc>
          <w:tcPr>
            <w:tcW w:w="6311" w:type="dxa"/>
            <w:tcBorders/>
          </w:tcPr>
          <w:p>
            <w:pPr>
              <w:pStyle w:val="TableContents"/>
              <w:bidi w:val="0"/>
              <w:spacing w:before="0" w:after="283"/>
              <w:jc w:val="left"/>
              <w:rPr/>
            </w:pPr>
            <w:r>
              <w:rPr/>
              <w:t>July 20, 2026 10:00 a.m.</w:t>
            </w:r>
          </w:p>
        </w:tc>
      </w:tr>
      <w:tr>
        <w:trPr>
          <w:trHeight w:val="120" w:hRule="atLeast"/>
        </w:trPr>
        <w:tc>
          <w:tcPr>
            <w:tcW w:w="3773" w:type="dxa"/>
            <w:tcBorders/>
            <w:vAlign w:val="center"/>
          </w:tcPr>
          <w:p>
            <w:pPr>
              <w:pStyle w:val="TableContents"/>
              <w:bidi w:val="0"/>
              <w:spacing w:before="0" w:after="283"/>
              <w:jc w:val="left"/>
              <w:rPr>
                <w:sz w:val="4"/>
                <w:szCs w:val="4"/>
              </w:rPr>
            </w:pPr>
            <w:r>
              <w:rPr>
                <w:sz w:val="4"/>
                <w:szCs w:val="4"/>
              </w:rPr>
            </w:r>
          </w:p>
        </w:tc>
        <w:tc>
          <w:tcPr>
            <w:tcW w:w="6432" w:type="dxa"/>
            <w:gridSpan w:val="2"/>
            <w:tcBorders/>
            <w:vAlign w:val="center"/>
          </w:tcPr>
          <w:p>
            <w:pPr>
              <w:pStyle w:val="TableContents"/>
              <w:bidi w:val="0"/>
              <w:spacing w:before="0" w:after="283"/>
              <w:jc w:val="left"/>
              <w:rPr>
                <w:sz w:val="4"/>
                <w:szCs w:val="4"/>
              </w:rPr>
            </w:pPr>
            <w:r>
              <w:rPr>
                <w:sz w:val="4"/>
                <w:szCs w:val="4"/>
              </w:rPr>
            </w:r>
          </w:p>
        </w:tc>
      </w:tr>
      <w:tr>
        <w:trPr/>
        <w:tc>
          <w:tcPr>
            <w:tcW w:w="3773" w:type="dxa"/>
            <w:tcBorders/>
          </w:tcPr>
          <w:p>
            <w:pPr>
              <w:pStyle w:val="TableContents"/>
              <w:bidi w:val="0"/>
              <w:spacing w:before="0" w:after="283"/>
              <w:jc w:val="left"/>
              <w:rPr/>
            </w:pPr>
            <w:r>
              <w:rPr/>
              <w:t>Closing Location:</w:t>
            </w:r>
          </w:p>
        </w:tc>
        <w:tc>
          <w:tcPr>
            <w:tcW w:w="121" w:type="dxa"/>
            <w:tcBorders/>
            <w:vAlign w:val="bottom"/>
          </w:tcPr>
          <w:p>
            <w:pPr>
              <w:pStyle w:val="TableContents"/>
              <w:bidi w:val="0"/>
              <w:spacing w:before="0" w:after="283"/>
              <w:jc w:val="left"/>
              <w:rPr/>
            </w:pPr>
            <w:r>
              <w:rPr/>
              <w:t>  </w:t>
            </w:r>
          </w:p>
        </w:tc>
        <w:tc>
          <w:tcPr>
            <w:tcW w:w="6311" w:type="dxa"/>
            <w:tcBorders/>
          </w:tcPr>
          <w:p>
            <w:pPr>
              <w:pStyle w:val="TableContents"/>
              <w:bidi w:val="0"/>
              <w:spacing w:before="0" w:after="0"/>
              <w:jc w:val="left"/>
              <w:rPr>
                <w:rFonts w:ascii="Times New Roman" w:hAnsi="Times New Roman"/>
                <w:sz w:val="20"/>
              </w:rPr>
            </w:pPr>
            <w:r>
              <w:rPr>
                <w:rFonts w:ascii="Times New Roman" w:hAnsi="Times New Roman"/>
                <w:sz w:val="20"/>
              </w:rPr>
              <w:t>Davis Polk &amp; Wardwell LLP</w:t>
            </w:r>
          </w:p>
          <w:p>
            <w:pPr>
              <w:pStyle w:val="TableContents"/>
              <w:bidi w:val="0"/>
              <w:spacing w:before="0" w:after="0"/>
              <w:jc w:val="left"/>
              <w:rPr>
                <w:rFonts w:ascii="Times New Roman" w:hAnsi="Times New Roman"/>
                <w:sz w:val="20"/>
              </w:rPr>
            </w:pPr>
            <w:r>
              <w:rPr>
                <w:rFonts w:ascii="Times New Roman" w:hAnsi="Times New Roman"/>
                <w:sz w:val="20"/>
              </w:rPr>
              <w:t>450 Lexington Avenue</w:t>
            </w:r>
          </w:p>
          <w:p>
            <w:pPr>
              <w:pStyle w:val="TableContents"/>
              <w:bidi w:val="0"/>
              <w:spacing w:before="0" w:after="20"/>
              <w:jc w:val="left"/>
              <w:rPr>
                <w:rFonts w:ascii="Times New Roman" w:hAnsi="Times New Roman"/>
                <w:sz w:val="20"/>
              </w:rPr>
            </w:pPr>
            <w:r>
              <w:rPr>
                <w:rFonts w:ascii="Times New Roman" w:hAnsi="Times New Roman"/>
                <w:sz w:val="20"/>
              </w:rPr>
              <w:t>New York, New York 10017</w:t>
            </w:r>
          </w:p>
        </w:tc>
      </w:tr>
      <w:tr>
        <w:trPr>
          <w:trHeight w:val="120" w:hRule="atLeast"/>
        </w:trPr>
        <w:tc>
          <w:tcPr>
            <w:tcW w:w="3773" w:type="dxa"/>
            <w:tcBorders/>
            <w:vAlign w:val="center"/>
          </w:tcPr>
          <w:p>
            <w:pPr>
              <w:pStyle w:val="TableContents"/>
              <w:bidi w:val="0"/>
              <w:spacing w:before="0" w:after="283"/>
              <w:jc w:val="left"/>
              <w:rPr>
                <w:sz w:val="4"/>
                <w:szCs w:val="4"/>
              </w:rPr>
            </w:pPr>
            <w:r>
              <w:rPr>
                <w:sz w:val="4"/>
                <w:szCs w:val="4"/>
              </w:rPr>
            </w:r>
          </w:p>
        </w:tc>
        <w:tc>
          <w:tcPr>
            <w:tcW w:w="6432" w:type="dxa"/>
            <w:gridSpan w:val="2"/>
            <w:tcBorders/>
            <w:vAlign w:val="center"/>
          </w:tcPr>
          <w:p>
            <w:pPr>
              <w:pStyle w:val="TableContents"/>
              <w:bidi w:val="0"/>
              <w:spacing w:before="0" w:after="283"/>
              <w:jc w:val="left"/>
              <w:rPr>
                <w:sz w:val="4"/>
                <w:szCs w:val="4"/>
              </w:rPr>
            </w:pPr>
            <w:r>
              <w:rPr>
                <w:sz w:val="4"/>
                <w:szCs w:val="4"/>
              </w:rPr>
            </w:r>
          </w:p>
        </w:tc>
      </w:tr>
      <w:tr>
        <w:trPr/>
        <w:tc>
          <w:tcPr>
            <w:tcW w:w="3773" w:type="dxa"/>
            <w:tcBorders/>
          </w:tcPr>
          <w:p>
            <w:pPr>
              <w:pStyle w:val="TableContents"/>
              <w:bidi w:val="0"/>
              <w:spacing w:before="0" w:after="283"/>
              <w:jc w:val="left"/>
              <w:rPr/>
            </w:pPr>
            <w:r>
              <w:rPr/>
              <w:t>Address for Notices to Underwriters:</w:t>
            </w:r>
          </w:p>
        </w:tc>
        <w:tc>
          <w:tcPr>
            <w:tcW w:w="121" w:type="dxa"/>
            <w:tcBorders/>
            <w:vAlign w:val="bottom"/>
          </w:tcPr>
          <w:p>
            <w:pPr>
              <w:pStyle w:val="TableContents"/>
              <w:bidi w:val="0"/>
              <w:spacing w:before="0" w:after="283"/>
              <w:jc w:val="left"/>
              <w:rPr/>
            </w:pPr>
            <w:r>
              <w:rPr/>
              <w:t>  </w:t>
            </w:r>
          </w:p>
        </w:tc>
        <w:tc>
          <w:tcPr>
            <w:tcW w:w="6311"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1585 Broadway, 29th Floor</w:t>
            </w:r>
          </w:p>
          <w:p>
            <w:pPr>
              <w:pStyle w:val="TableContents"/>
              <w:bidi w:val="0"/>
              <w:spacing w:before="0" w:after="0"/>
              <w:jc w:val="left"/>
              <w:rPr>
                <w:rFonts w:ascii="Times New Roman" w:hAnsi="Times New Roman"/>
                <w:sz w:val="20"/>
              </w:rPr>
            </w:pPr>
            <w:r>
              <w:rPr>
                <w:rFonts w:ascii="Times New Roman" w:hAnsi="Times New Roman"/>
                <w:sz w:val="20"/>
              </w:rPr>
              <w:t>New York, New York 10036</w:t>
            </w:r>
          </w:p>
          <w:p>
            <w:pPr>
              <w:pStyle w:val="TableContents"/>
              <w:bidi w:val="0"/>
              <w:spacing w:before="0" w:after="0"/>
              <w:jc w:val="left"/>
              <w:rPr>
                <w:rFonts w:ascii="Times New Roman" w:hAnsi="Times New Roman"/>
                <w:sz w:val="20"/>
              </w:rPr>
            </w:pPr>
            <w:r>
              <w:rPr>
                <w:rFonts w:ascii="Times New Roman" w:hAnsi="Times New Roman"/>
                <w:sz w:val="20"/>
              </w:rPr>
              <w:t>Attention: Investment Banking Division</w:t>
            </w:r>
          </w:p>
          <w:p>
            <w:pPr>
              <w:pStyle w:val="TableContents"/>
              <w:bidi w:val="0"/>
              <w:spacing w:before="0" w:after="0"/>
              <w:jc w:val="left"/>
              <w:rPr>
                <w:rFonts w:ascii="Times New Roman" w:hAnsi="Times New Roman"/>
                <w:sz w:val="20"/>
              </w:rPr>
            </w:pPr>
            <w:r>
              <w:rPr>
                <w:rFonts w:ascii="Times New Roman" w:hAnsi="Times New Roman"/>
                <w:sz w:val="20"/>
              </w:rPr>
              <w:t>(Fax: (212) 507-8999)</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270 Park Avenue</w:t>
            </w:r>
          </w:p>
          <w:p>
            <w:pPr>
              <w:pStyle w:val="TableContents"/>
              <w:bidi w:val="0"/>
              <w:spacing w:before="0" w:after="0"/>
              <w:jc w:val="left"/>
              <w:rPr>
                <w:rFonts w:ascii="Times New Roman" w:hAnsi="Times New Roman"/>
                <w:sz w:val="20"/>
              </w:rPr>
            </w:pPr>
            <w:r>
              <w:rPr>
                <w:rFonts w:ascii="Times New Roman" w:hAnsi="Times New Roman"/>
                <w:sz w:val="20"/>
              </w:rPr>
              <w:t>New York, New York 10017</w:t>
            </w:r>
          </w:p>
          <w:p>
            <w:pPr>
              <w:pStyle w:val="TableContents"/>
              <w:bidi w:val="0"/>
              <w:spacing w:before="0" w:after="0"/>
              <w:jc w:val="left"/>
              <w:rPr>
                <w:rFonts w:ascii="Times New Roman" w:hAnsi="Times New Roman"/>
                <w:sz w:val="20"/>
              </w:rPr>
            </w:pPr>
            <w:r>
              <w:rPr>
                <w:rFonts w:ascii="Times New Roman" w:hAnsi="Times New Roman"/>
                <w:sz w:val="20"/>
              </w:rPr>
              <w:t>Attention: Equity Syndicate Desk</w:t>
            </w:r>
          </w:p>
          <w:p>
            <w:pPr>
              <w:pStyle w:val="TableContents"/>
              <w:bidi w:val="0"/>
              <w:spacing w:before="0" w:after="0"/>
              <w:jc w:val="left"/>
              <w:rPr>
                <w:rFonts w:ascii="Times New Roman" w:hAnsi="Times New Roman"/>
                <w:sz w:val="20"/>
              </w:rPr>
            </w:pPr>
            <w:r>
              <w:rPr>
                <w:rFonts w:ascii="Times New Roman" w:hAnsi="Times New Roman"/>
                <w:sz w:val="20"/>
              </w:rPr>
              <w:t>(Fax: (212) 622-8358)</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Leerink Partners LLC</w:t>
            </w:r>
          </w:p>
          <w:p>
            <w:pPr>
              <w:pStyle w:val="TableContents"/>
              <w:bidi w:val="0"/>
              <w:spacing w:before="0" w:after="0"/>
              <w:jc w:val="left"/>
              <w:rPr>
                <w:rFonts w:ascii="Times New Roman" w:hAnsi="Times New Roman"/>
                <w:sz w:val="20"/>
              </w:rPr>
            </w:pPr>
            <w:r>
              <w:rPr>
                <w:rFonts w:ascii="Times New Roman" w:hAnsi="Times New Roman"/>
                <w:sz w:val="20"/>
              </w:rPr>
              <w:t>1301 Avenue of the Americas, 5th Floor</w:t>
            </w:r>
          </w:p>
          <w:p>
            <w:pPr>
              <w:pStyle w:val="TableContents"/>
              <w:bidi w:val="0"/>
              <w:spacing w:before="0" w:after="0"/>
              <w:jc w:val="left"/>
              <w:rPr>
                <w:rFonts w:ascii="Times New Roman" w:hAnsi="Times New Roman"/>
                <w:sz w:val="20"/>
              </w:rPr>
            </w:pPr>
            <w:r>
              <w:rPr>
                <w:rFonts w:ascii="Times New Roman" w:hAnsi="Times New Roman"/>
                <w:sz w:val="20"/>
              </w:rPr>
              <w:t>New York, NY 10019</w:t>
            </w:r>
          </w:p>
          <w:p>
            <w:pPr>
              <w:pStyle w:val="TableContents"/>
              <w:bidi w:val="0"/>
              <w:spacing w:before="0" w:after="0"/>
              <w:jc w:val="left"/>
              <w:rPr>
                <w:rFonts w:ascii="Times New Roman" w:hAnsi="Times New Roman"/>
                <w:sz w:val="20"/>
              </w:rPr>
            </w:pPr>
            <w:r>
              <w:rPr>
                <w:rFonts w:ascii="Times New Roman" w:hAnsi="Times New Roman"/>
                <w:sz w:val="20"/>
              </w:rPr>
              <w:t>Attention: Stuart R. Nayman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Mizuho Securities USA LLC</w:t>
            </w:r>
          </w:p>
          <w:p>
            <w:pPr>
              <w:pStyle w:val="TableContents"/>
              <w:bidi w:val="0"/>
              <w:spacing w:before="0" w:after="0"/>
              <w:jc w:val="left"/>
              <w:rPr>
                <w:rFonts w:ascii="Times New Roman" w:hAnsi="Times New Roman"/>
                <w:sz w:val="20"/>
              </w:rPr>
            </w:pPr>
            <w:r>
              <w:rPr>
                <w:rFonts w:ascii="Times New Roman" w:hAnsi="Times New Roman"/>
                <w:sz w:val="20"/>
              </w:rPr>
              <w:t>1271 Avenue of the Americas</w:t>
            </w:r>
          </w:p>
          <w:p>
            <w:pPr>
              <w:pStyle w:val="TableContents"/>
              <w:bidi w:val="0"/>
              <w:spacing w:before="0" w:after="0"/>
              <w:jc w:val="left"/>
              <w:rPr>
                <w:rFonts w:ascii="Times New Roman" w:hAnsi="Times New Roman"/>
                <w:sz w:val="20"/>
              </w:rPr>
            </w:pPr>
            <w:r>
              <w:rPr>
                <w:rFonts w:ascii="Times New Roman" w:hAnsi="Times New Roman"/>
                <w:sz w:val="20"/>
              </w:rPr>
              <w:t>New York, NY 10020</w:t>
            </w:r>
          </w:p>
          <w:p>
            <w:pPr>
              <w:pStyle w:val="TableContents"/>
              <w:bidi w:val="0"/>
              <w:spacing w:before="0" w:after="20"/>
              <w:jc w:val="left"/>
              <w:rPr>
                <w:rFonts w:ascii="Times New Roman" w:hAnsi="Times New Roman"/>
                <w:sz w:val="20"/>
              </w:rPr>
            </w:pPr>
            <w:r>
              <w:rPr>
                <w:rFonts w:ascii="Times New Roman" w:hAnsi="Times New Roman"/>
                <w:sz w:val="20"/>
              </w:rPr>
              <w:t>Attention: Equity Capital Markets</w:t>
            </w:r>
          </w:p>
        </w:tc>
      </w:tr>
      <w:tr>
        <w:trPr>
          <w:trHeight w:val="120" w:hRule="atLeast"/>
        </w:trPr>
        <w:tc>
          <w:tcPr>
            <w:tcW w:w="3773" w:type="dxa"/>
            <w:tcBorders/>
            <w:vAlign w:val="center"/>
          </w:tcPr>
          <w:p>
            <w:pPr>
              <w:pStyle w:val="TableContents"/>
              <w:bidi w:val="0"/>
              <w:spacing w:before="0" w:after="283"/>
              <w:jc w:val="left"/>
              <w:rPr>
                <w:sz w:val="4"/>
                <w:szCs w:val="4"/>
              </w:rPr>
            </w:pPr>
            <w:r>
              <w:rPr>
                <w:sz w:val="4"/>
                <w:szCs w:val="4"/>
              </w:rPr>
            </w:r>
          </w:p>
        </w:tc>
        <w:tc>
          <w:tcPr>
            <w:tcW w:w="6432" w:type="dxa"/>
            <w:gridSpan w:val="2"/>
            <w:tcBorders/>
            <w:vAlign w:val="center"/>
          </w:tcPr>
          <w:p>
            <w:pPr>
              <w:pStyle w:val="TableContents"/>
              <w:bidi w:val="0"/>
              <w:spacing w:before="0" w:after="283"/>
              <w:jc w:val="left"/>
              <w:rPr>
                <w:sz w:val="4"/>
                <w:szCs w:val="4"/>
              </w:rPr>
            </w:pPr>
            <w:r>
              <w:rPr>
                <w:sz w:val="4"/>
                <w:szCs w:val="4"/>
              </w:rPr>
            </w:r>
          </w:p>
        </w:tc>
      </w:tr>
      <w:tr>
        <w:trPr/>
        <w:tc>
          <w:tcPr>
            <w:tcW w:w="3773" w:type="dxa"/>
            <w:tcBorders/>
          </w:tcPr>
          <w:p>
            <w:pPr>
              <w:pStyle w:val="TableContents"/>
              <w:bidi w:val="0"/>
              <w:spacing w:before="0" w:after="283"/>
              <w:jc w:val="left"/>
              <w:rPr/>
            </w:pPr>
            <w:r>
              <w:rPr/>
              <w:t>Address for Notices to the Company:</w:t>
            </w:r>
          </w:p>
        </w:tc>
        <w:tc>
          <w:tcPr>
            <w:tcW w:w="121" w:type="dxa"/>
            <w:tcBorders/>
            <w:vAlign w:val="bottom"/>
          </w:tcPr>
          <w:p>
            <w:pPr>
              <w:pStyle w:val="TableContents"/>
              <w:bidi w:val="0"/>
              <w:spacing w:before="0" w:after="283"/>
              <w:jc w:val="left"/>
              <w:rPr/>
            </w:pPr>
            <w:r>
              <w:rPr/>
              <w:t>  </w:t>
            </w:r>
          </w:p>
        </w:tc>
        <w:tc>
          <w:tcPr>
            <w:tcW w:w="6311" w:type="dxa"/>
            <w:tcBorders/>
          </w:tcPr>
          <w:p>
            <w:pPr>
              <w:pStyle w:val="TableContents"/>
              <w:bidi w:val="0"/>
              <w:spacing w:before="0" w:after="283"/>
              <w:jc w:val="left"/>
              <w:rPr/>
            </w:pPr>
            <w:r>
              <w:rPr/>
              <w:t>REGENXBIO Inc., 9804 Medical Center Drive, Rockville, MD 20850, Attention: Chief Legal Officer, with a copy (which shall not constitute notice) to Covington &amp; Burling LLP, One CityCenter, 850 Tenth Street, NW, Washington, D.C. 20001, Attention: Kerry S. Burke (email: kburke@cov.com) and Matthew C. Franker (email: mfranker@cov.com)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62"/>
        <w:gridCol w:w="146"/>
        <w:gridCol w:w="66"/>
        <w:gridCol w:w="1230"/>
        <w:gridCol w:w="60"/>
        <w:gridCol w:w="146"/>
        <w:gridCol w:w="65"/>
        <w:gridCol w:w="1067"/>
        <w:gridCol w:w="63"/>
      </w:tblGrid>
      <w:tr>
        <w:trPr/>
        <w:tc>
          <w:tcPr>
            <w:tcW w:w="7362"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3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146"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Firm Shares</w:t>
              <w:br/>
              <w:t>To Be</w:t>
              <w:br/>
              <w:t>Purchased</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Warrants</w:t>
            </w:r>
          </w:p>
        </w:tc>
        <w:tc>
          <w:tcPr>
            <w:tcW w:w="63" w:type="dxa"/>
            <w:tcBorders/>
            <w:vAlign w:val="bottom"/>
          </w:tcPr>
          <w:p>
            <w:pPr>
              <w:pStyle w:val="TableContents"/>
              <w:bidi w:val="0"/>
              <w:spacing w:before="0" w:after="283"/>
              <w:jc w:val="left"/>
              <w:rPr/>
            </w:pPr>
            <w:r>
              <w:rPr/>
              <w:t> </w:t>
            </w:r>
          </w:p>
        </w:tc>
      </w:tr>
      <w:tr>
        <w:trPr/>
        <w:tc>
          <w:tcPr>
            <w:tcW w:w="7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14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3,401,323</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377,777</w:t>
            </w:r>
          </w:p>
        </w:tc>
        <w:tc>
          <w:tcPr>
            <w:tcW w:w="63" w:type="dxa"/>
            <w:tcBorders/>
            <w:shd w:fill="CCEEFF" w:val="clear"/>
            <w:vAlign w:val="bottom"/>
          </w:tcPr>
          <w:p>
            <w:pPr>
              <w:pStyle w:val="TableContents"/>
              <w:bidi w:val="0"/>
              <w:spacing w:before="0" w:after="283"/>
              <w:jc w:val="left"/>
              <w:rPr/>
            </w:pPr>
            <w:r>
              <w:rPr/>
              <w:t> </w:t>
            </w:r>
          </w:p>
        </w:tc>
      </w:tr>
      <w:tr>
        <w:trPr/>
        <w:tc>
          <w:tcPr>
            <w:tcW w:w="7362"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14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3,201,244</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355,556</w:t>
            </w:r>
          </w:p>
        </w:tc>
        <w:tc>
          <w:tcPr>
            <w:tcW w:w="63" w:type="dxa"/>
            <w:tcBorders/>
            <w:vAlign w:val="bottom"/>
          </w:tcPr>
          <w:p>
            <w:pPr>
              <w:pStyle w:val="TableContents"/>
              <w:bidi w:val="0"/>
              <w:spacing w:before="0" w:after="283"/>
              <w:jc w:val="left"/>
              <w:rPr/>
            </w:pPr>
            <w:r>
              <w:rPr/>
              <w:t> </w:t>
            </w:r>
          </w:p>
        </w:tc>
      </w:tr>
      <w:tr>
        <w:trPr/>
        <w:tc>
          <w:tcPr>
            <w:tcW w:w="7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14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2,701,050</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300,000</w:t>
            </w:r>
          </w:p>
        </w:tc>
        <w:tc>
          <w:tcPr>
            <w:tcW w:w="63" w:type="dxa"/>
            <w:tcBorders/>
            <w:shd w:fill="CCEEFF" w:val="clear"/>
            <w:vAlign w:val="bottom"/>
          </w:tcPr>
          <w:p>
            <w:pPr>
              <w:pStyle w:val="TableContents"/>
              <w:bidi w:val="0"/>
              <w:spacing w:before="0" w:after="283"/>
              <w:jc w:val="left"/>
              <w:rPr/>
            </w:pPr>
            <w:r>
              <w:rPr/>
              <w:t> </w:t>
            </w:r>
          </w:p>
        </w:tc>
      </w:tr>
      <w:tr>
        <w:trPr/>
        <w:tc>
          <w:tcPr>
            <w:tcW w:w="7362" w:type="dxa"/>
            <w:tcBorders/>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14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700,272</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77,778</w:t>
            </w:r>
          </w:p>
        </w:tc>
        <w:tc>
          <w:tcPr>
            <w:tcW w:w="63" w:type="dxa"/>
            <w:tcBorders/>
            <w:vAlign w:val="bottom"/>
          </w:tcPr>
          <w:p>
            <w:pPr>
              <w:pStyle w:val="TableContents"/>
              <w:bidi w:val="0"/>
              <w:spacing w:before="0" w:after="283"/>
              <w:jc w:val="left"/>
              <w:rPr/>
            </w:pPr>
            <w:r>
              <w:rPr/>
              <w:t> </w:t>
            </w:r>
          </w:p>
        </w:tc>
      </w:tr>
      <w:tr>
        <w:trPr/>
        <w:tc>
          <w:tcPr>
            <w:tcW w:w="736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6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4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10,003,889</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b/>
              </w:rPr>
            </w:pPr>
            <w:r>
              <w:rPr>
                <w:b/>
              </w:rPr>
              <w:t>1,111,111</w:t>
            </w:r>
          </w:p>
        </w:tc>
        <w:tc>
          <w:tcPr>
            <w:tcW w:w="63" w:type="dxa"/>
            <w:tcBorders/>
            <w:shd w:fill="CCEEFF" w:val="clear"/>
            <w:vAlign w:val="bottom"/>
          </w:tcPr>
          <w:p>
            <w:pPr>
              <w:pStyle w:val="TableContents"/>
              <w:bidi w:val="0"/>
              <w:spacing w:before="0" w:after="283"/>
              <w:jc w:val="left"/>
              <w:rPr/>
            </w:pPr>
            <w:r>
              <w:rPr/>
              <w:t> </w:t>
            </w:r>
          </w:p>
        </w:tc>
      </w:tr>
      <w:tr>
        <w:trPr/>
        <w:tc>
          <w:tcPr>
            <w:tcW w:w="736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2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p>
    <w:p>
      <w:pPr>
        <w:pStyle w:val="TextBody"/>
        <w:bidi w:val="0"/>
        <w:spacing w:before="0" w:after="0"/>
        <w:jc w:val="right"/>
        <w:rPr>
          <w:rFonts w:ascii="Times New Roman" w:hAnsi="Times New Roman"/>
          <w:b/>
          <w:sz w:val="20"/>
        </w:rPr>
      </w:pPr>
      <w:bookmarkStart w:id="4" w:name="d40931dex41.htm"/>
      <w:bookmarkStart w:id="5" w:name="ksd40931dex41"/>
      <w:bookmarkEnd w:id="4"/>
      <w:bookmarkEnd w:id="5"/>
      <w:r>
        <w:rPr>
          <w:rFonts w:ascii="Times New Roman" w:hAnsi="Times New Roman"/>
          <w:b/>
          <w:sz w:val="20"/>
        </w:rPr>
        <w:t xml:space="preserve">Exhibit 4.1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REGENXBIO INC. </w:t>
      </w:r>
    </w:p>
    <w:p>
      <w:pPr>
        <w:pStyle w:val="TextBody"/>
        <w:bidi w:val="0"/>
        <w:spacing w:before="0" w:after="0"/>
        <w:jc w:val="center"/>
        <w:rPr>
          <w:rFonts w:ascii="Times New Roman" w:hAnsi="Times New Roman"/>
          <w:b/>
          <w:sz w:val="20"/>
        </w:rPr>
      </w:pPr>
      <w:r>
        <w:rPr>
          <w:rFonts w:ascii="Times New Roman" w:hAnsi="Times New Roman"/>
          <w:b/>
          <w:sz w:val="20"/>
        </w:rPr>
        <w:t xml:space="preserve">FORM OF WARRANT TO PURCHASE COMMON STOCK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w:t>
      </w:r>
    </w:p>
    <w:p>
      <w:pPr>
        <w:pStyle w:val="TextBody"/>
        <w:bidi w:val="0"/>
        <w:spacing w:before="240" w:after="0"/>
        <w:jc w:val="right"/>
        <w:rPr>
          <w:rFonts w:ascii="Times New Roman" w:hAnsi="Times New Roman"/>
          <w:sz w:val="20"/>
        </w:rPr>
      </w:pPr>
      <w:r>
        <w:rPr>
          <w:rFonts w:ascii="Times New Roman" w:hAnsi="Times New Roman"/>
          <w:sz w:val="20"/>
        </w:rPr>
        <w:t xml:space="preserve">(subject to adjustment) </w:t>
      </w:r>
    </w:p>
    <w:tbl>
      <w:tblPr>
        <w:tblW w:w="5000" w:type="pct"/>
        <w:jc w:val="center"/>
        <w:tblInd w:w="0" w:type="dxa"/>
        <w:tblLayout w:type="fixed"/>
        <w:tblCellMar>
          <w:top w:w="0" w:type="dxa"/>
          <w:left w:w="0" w:type="dxa"/>
          <w:bottom w:w="0" w:type="dxa"/>
          <w:right w:w="0" w:type="dxa"/>
        </w:tblCellMar>
      </w:tblPr>
      <w:tblGrid>
        <w:gridCol w:w="5158"/>
        <w:gridCol w:w="125"/>
        <w:gridCol w:w="4922"/>
      </w:tblGrid>
      <w:tr>
        <w:trPr/>
        <w:tc>
          <w:tcPr>
            <w:tcW w:w="515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922" w:type="dxa"/>
            <w:tcBorders/>
            <w:vAlign w:val="center"/>
          </w:tcPr>
          <w:p>
            <w:pPr>
              <w:pStyle w:val="TableContents"/>
              <w:bidi w:val="0"/>
              <w:spacing w:before="0" w:after="283"/>
              <w:jc w:val="left"/>
              <w:rPr>
                <w:sz w:val="4"/>
                <w:szCs w:val="4"/>
              </w:rPr>
            </w:pPr>
            <w:r>
              <w:rPr>
                <w:sz w:val="4"/>
                <w:szCs w:val="4"/>
              </w:rPr>
            </w:r>
          </w:p>
        </w:tc>
      </w:tr>
      <w:tr>
        <w:trPr/>
        <w:tc>
          <w:tcPr>
            <w:tcW w:w="5158" w:type="dxa"/>
            <w:tcBorders/>
          </w:tcPr>
          <w:p>
            <w:pPr>
              <w:pStyle w:val="TableContents"/>
              <w:bidi w:val="0"/>
              <w:spacing w:before="0" w:after="283"/>
              <w:jc w:val="left"/>
              <w:rPr/>
            </w:pPr>
            <w:r>
              <w:rPr/>
              <w:t>Warrant No. []</w:t>
            </w:r>
          </w:p>
        </w:tc>
        <w:tc>
          <w:tcPr>
            <w:tcW w:w="125"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right"/>
              <w:rPr/>
            </w:pPr>
            <w:r>
              <w:rPr/>
              <w:t>Original Issue Date: July [__], 2026</w:t>
            </w:r>
          </w:p>
        </w:tc>
      </w:tr>
    </w:tbl>
    <w:p>
      <w:pPr>
        <w:pStyle w:val="TextBody"/>
        <w:bidi w:val="0"/>
        <w:spacing w:before="240" w:after="0"/>
        <w:jc w:val="left"/>
        <w:rPr>
          <w:rFonts w:ascii="Times New Roman" w:hAnsi="Times New Roman"/>
          <w:sz w:val="20"/>
        </w:rPr>
      </w:pPr>
      <w:r>
        <w:rPr>
          <w:rFonts w:ascii="Times New Roman" w:hAnsi="Times New Roman"/>
          <w:sz w:val="20"/>
        </w:rPr>
        <w:t>REGENXBIO Inc., a Delaware corporation (the “</w:t>
      </w:r>
      <w:r>
        <w:rPr>
          <w:rFonts w:ascii="Times New Roman" w:hAnsi="Times New Roman"/>
          <w:b/>
          <w:sz w:val="20"/>
        </w:rPr>
        <w:t>Company</w:t>
      </w:r>
      <w:r>
        <w:rPr>
          <w:rFonts w:ascii="Times New Roman" w:hAnsi="Times New Roman"/>
          <w:sz w:val="20"/>
        </w:rPr>
        <w:t>”), hereby certifies that, for good and valuable consideration, the receipt and sufficiency of which are hereby acknowledged, [] or its permitted registered assigns (the “</w:t>
      </w:r>
      <w:r>
        <w:rPr>
          <w:rFonts w:ascii="Times New Roman" w:hAnsi="Times New Roman"/>
          <w:b/>
          <w:sz w:val="20"/>
        </w:rPr>
        <w:t>Holder</w:t>
      </w:r>
      <w:r>
        <w:rPr>
          <w:rFonts w:ascii="Times New Roman" w:hAnsi="Times New Roman"/>
          <w:sz w:val="20"/>
        </w:rPr>
        <w:t>”), is entitled, subject to the terms set forth below, to purchase from the Company up to a total of [] shares of common stock, $0.0001 par value per share (the “</w:t>
      </w:r>
      <w:r>
        <w:rPr>
          <w:rFonts w:ascii="Times New Roman" w:hAnsi="Times New Roman"/>
          <w:b/>
          <w:sz w:val="20"/>
        </w:rPr>
        <w:t>Common Stock</w:t>
      </w:r>
      <w:r>
        <w:rPr>
          <w:rFonts w:ascii="Times New Roman" w:hAnsi="Times New Roman"/>
          <w:sz w:val="20"/>
        </w:rPr>
        <w:t>”), of the Company (each such share, a “</w:t>
      </w:r>
      <w:r>
        <w:rPr>
          <w:rFonts w:ascii="Times New Roman" w:hAnsi="Times New Roman"/>
          <w:b/>
          <w:sz w:val="20"/>
        </w:rPr>
        <w:t>Warrant Share</w:t>
      </w:r>
      <w:r>
        <w:rPr>
          <w:rFonts w:ascii="Times New Roman" w:hAnsi="Times New Roman"/>
          <w:sz w:val="20"/>
        </w:rPr>
        <w:t>” and all such shares, the “</w:t>
      </w:r>
      <w:r>
        <w:rPr>
          <w:rFonts w:ascii="Times New Roman" w:hAnsi="Times New Roman"/>
          <w:b/>
          <w:sz w:val="20"/>
        </w:rPr>
        <w:t>Warrant Shares</w:t>
      </w:r>
      <w:r>
        <w:rPr>
          <w:rFonts w:ascii="Times New Roman" w:hAnsi="Times New Roman"/>
          <w:sz w:val="20"/>
        </w:rPr>
        <w:t xml:space="preserve">”) at an exercise price per share equal to $0.0001 per share (as adjusted from time to time as provided in </w:t>
      </w:r>
      <w:r>
        <w:rPr>
          <w:rFonts w:ascii="Times New Roman" w:hAnsi="Times New Roman"/>
          <w:sz w:val="20"/>
          <w:u w:val="single"/>
        </w:rPr>
        <w:t>Section 9</w:t>
      </w:r>
      <w:r>
        <w:rPr>
          <w:rFonts w:ascii="Times New Roman" w:hAnsi="Times New Roman"/>
          <w:sz w:val="20"/>
        </w:rPr>
        <w:t xml:space="preserve"> herein, the “</w:t>
      </w:r>
      <w:r>
        <w:rPr>
          <w:rFonts w:ascii="Times New Roman" w:hAnsi="Times New Roman"/>
          <w:b/>
          <w:sz w:val="20"/>
        </w:rPr>
        <w:t>Exercise Price</w:t>
      </w:r>
      <w:r>
        <w:rPr>
          <w:rFonts w:ascii="Times New Roman" w:hAnsi="Times New Roman"/>
          <w:sz w:val="20"/>
        </w:rPr>
        <w:t>”) upon surrender of this Warrant to Purchase Common Stock (including any Warrants to Purchase Common Stock issued in exchange, transfer or replacement hereof, the “</w:t>
      </w:r>
      <w:r>
        <w:rPr>
          <w:rFonts w:ascii="Times New Roman" w:hAnsi="Times New Roman"/>
          <w:b/>
          <w:sz w:val="20"/>
        </w:rPr>
        <w:t>Warrant</w:t>
      </w:r>
      <w:r>
        <w:rPr>
          <w:rFonts w:ascii="Times New Roman" w:hAnsi="Times New Roman"/>
          <w:sz w:val="20"/>
        </w:rPr>
        <w:t>”) at any time and from time to time on or after the date hereof (the “</w:t>
      </w:r>
      <w:r>
        <w:rPr>
          <w:rFonts w:ascii="Times New Roman" w:hAnsi="Times New Roman"/>
          <w:b/>
          <w:sz w:val="20"/>
        </w:rPr>
        <w:t>Original Issue Date</w:t>
      </w:r>
      <w:r>
        <w:rPr>
          <w:rFonts w:ascii="Times New Roman" w:hAnsi="Times New Roman"/>
          <w:sz w:val="20"/>
        </w:rPr>
        <w:t xml:space="preserve">”), subject to the following 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Definitions</w:t>
      </w:r>
      <w:r>
        <w:rPr>
          <w:rFonts w:ascii="Times New Roman" w:hAnsi="Times New Roman"/>
          <w:sz w:val="20"/>
        </w:rPr>
        <w:t xml:space="preserve">. For purposes of this Warrant,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Affiliate</w:t>
      </w:r>
      <w:r>
        <w:rPr>
          <w:rFonts w:ascii="Times New Roman" w:hAnsi="Times New Roman"/>
          <w:sz w:val="20"/>
        </w:rPr>
        <w:t xml:space="preserve">” means any Person directly or indirectly controlled by, controlling or under common control with, a Holder, as such terms are used in and construed under Rule 405 under the Securities Act, but only for so long as such control shall continue.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Commission</w:t>
      </w:r>
      <w:r>
        <w:rPr>
          <w:rFonts w:ascii="Times New Roman" w:hAnsi="Times New Roman"/>
          <w:sz w:val="20"/>
        </w:rPr>
        <w:t xml:space="preserve">” means the United States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L.P., or, if such Principal Trading Market begins to operate on an extended hours basis and does not designate the last trade price, then the last trade price of such security prior to 4:00 P.M., New York City time, as reported by Bloomberg L.P., or if the security is not listed for trading on a national securities exchange or other trading market on the relevant date, the last quoted bid price for the security in the over-the-counter market on the relevant date as reported by OTC Markets Group Inc.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Global Select Market.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sz w:val="20"/>
        </w:rPr>
        <w:t>Registration Statement</w:t>
      </w:r>
      <w:r>
        <w:rPr>
          <w:rFonts w:ascii="Times New Roman" w:hAnsi="Times New Roman"/>
          <w:sz w:val="20"/>
        </w:rPr>
        <w:t xml:space="preserve">” means the Company’s Registration Statement on Form S-3 (File No. 333-291816), which was filed on November 26, 2025 and became effective on December 12, 2025.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sz w:val="20"/>
        </w:rPr>
        <w:t>Trading Day</w:t>
      </w:r>
      <w:r>
        <w:rPr>
          <w:rFonts w:ascii="Times New Roman" w:hAnsi="Times New Roman"/>
          <w:sz w:val="20"/>
        </w:rPr>
        <w:t xml:space="preserve">” means any day on which the Principal Trading Market is open for trading. If the Common Stock is not listed or admitted for trading, “Trading Day” means any day except any Saturday, any Sunday, any day which is a federal legal holiday in the United States or any day on which banking institutions in New York City are authorized or required by law or other governmental action to close.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w:t>
      </w:r>
      <w:r>
        <w:rPr>
          <w:rFonts w:ascii="Times New Roman" w:hAnsi="Times New Roman"/>
          <w:b/>
          <w:sz w:val="20"/>
        </w:rPr>
        <w:t>Transfer Agent</w:t>
      </w:r>
      <w:r>
        <w:rPr>
          <w:rFonts w:ascii="Times New Roman" w:hAnsi="Times New Roman"/>
          <w:sz w:val="20"/>
        </w:rPr>
        <w:t xml:space="preserve">” means Computershare Trust Company, N.A., the Company’s transfer agent and registrar for the Common Stock, and any successor appointed in such capacity.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Issuance of Securities; Registration of Warrants</w:t>
      </w:r>
      <w:r>
        <w:rPr>
          <w:rFonts w:ascii="Times New Roman" w:hAnsi="Times New Roman"/>
          <w:sz w:val="20"/>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the Warrant Shares, are not “restricted securities” under Rule 144 promulgated under the Securities Act as of the Original Issue Date. The Company shall register ownership of this Warrant, upon records to be maintained initially by the Company for that purpose (the “</w:t>
      </w:r>
      <w:r>
        <w:rPr>
          <w:rFonts w:ascii="Times New Roman" w:hAnsi="Times New Roman"/>
          <w:b/>
          <w:sz w:val="20"/>
        </w:rPr>
        <w:t>Warrant Register</w:t>
      </w:r>
      <w:r>
        <w:rPr>
          <w:rFonts w:ascii="Times New Roman" w:hAnsi="Times New Roman"/>
          <w:sz w:val="20"/>
        </w:rPr>
        <w:t xml:space="preserve">”), in the name of the record Holder (which shall include the initial Holder or, as the case may be, any assignee to which this Warrant is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Registration of Transfers</w:t>
      </w:r>
      <w:r>
        <w:rPr>
          <w:rFonts w:ascii="Times New Roman" w:hAnsi="Times New Roman"/>
          <w:sz w:val="20"/>
        </w:rPr>
        <w:t>. Subject to compliance with all applicable securities laws and, if applicable, the rules of the Principal Trading Market, the Company shall, or will cause its Transfer Agent to, register the transfer of all or any portion of this Warrant in the Warrant Register, upon surrender of this Warrant, and payment for all applicable transfer taxes (if any) by the Holder or any subsequent holder. Any Holder desiring to register the transfer of this Warrant shall make such request in writing delivered to the Company, and shall surrender to the Company this Warrant. In the case of registration of transfer, such Holder shall provide a signature guarantee (a “</w:t>
      </w:r>
      <w:r>
        <w:rPr>
          <w:rFonts w:ascii="Times New Roman" w:hAnsi="Times New Roman"/>
          <w:b/>
          <w:sz w:val="20"/>
        </w:rPr>
        <w:t>Signature Guarantee</w:t>
      </w:r>
      <w:r>
        <w:rPr>
          <w:rFonts w:ascii="Times New Roman" w:hAnsi="Times New Roman"/>
          <w:sz w:val="20"/>
        </w:rPr>
        <w:t>”) from an eligible guarantor institution participating in a signature guarantee program approved by the Securities Transfer Association and such other documentation as the Company may reasonably request. Upon any such registration or transfer, a new warrant to purchase Common Stock in substantially the form of this Warrant (any such new warrant, a “</w:t>
      </w:r>
      <w:r>
        <w:rPr>
          <w:rFonts w:ascii="Times New Roman" w:hAnsi="Times New Roman"/>
          <w:b/>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Exercise and Duration of Warrants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at any time and from time to time on or after the Original Issue Date. </w:t>
      </w:r>
    </w:p>
    <w:p>
      <w:pPr>
        <w:pStyle w:val="TextBody"/>
        <w:bidi w:val="0"/>
        <w:spacing w:before="120" w:after="0"/>
        <w:jc w:val="left"/>
        <w:rPr>
          <w:rFonts w:ascii="Times New Roman" w:hAnsi="Times New Roman"/>
          <w:sz w:val="20"/>
        </w:rPr>
      </w:pPr>
      <w:r>
        <w:rPr>
          <w:rFonts w:ascii="Times New Roman" w:hAnsi="Times New Roman"/>
          <w:sz w:val="20"/>
        </w:rPr>
        <w:t xml:space="preserve">(b) The Holder may exercise this Warrant by delivering (as determined in accordance with the notice provisions hereof) to the Company an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b/>
          <w:sz w:val="20"/>
        </w:rPr>
        <w:t>Exercise Notice</w:t>
      </w:r>
      <w:r>
        <w:rPr>
          <w:rFonts w:ascii="Times New Roman" w:hAnsi="Times New Roman"/>
          <w:sz w:val="20"/>
        </w:rPr>
        <w:t xml:space="preserve">”), completed and duly signed. Within one (1) Trading Day following the date of delivery of the Exercise Notice, the Holder shall make payment of the Exercise Price for the number of Warrant Shares as to which this Warrant is being exercised (which shall take the form of a “cashless exercise” unless expressly indicated to the contrary in the Exercise Notice pursuant to </w:t>
      </w:r>
      <w:r>
        <w:rPr>
          <w:rFonts w:ascii="Times New Roman" w:hAnsi="Times New Roman"/>
          <w:sz w:val="20"/>
          <w:u w:val="single"/>
        </w:rPr>
        <w:t>Section 10</w:t>
      </w:r>
      <w:r>
        <w:rPr>
          <w:rFonts w:ascii="Times New Roman" w:hAnsi="Times New Roman"/>
          <w:sz w:val="20"/>
        </w:rPr>
        <w:t xml:space="preserve"> below). The date on which the Notice of Exercise is delivered to the Company (as determined in accordance with the notice provisions hereof) is an “</w:t>
      </w:r>
      <w:r>
        <w:rPr>
          <w:rFonts w:ascii="Times New Roman" w:hAnsi="Times New Roman"/>
          <w:b/>
          <w:sz w:val="20"/>
        </w:rPr>
        <w:t>Exercise Date</w:t>
      </w:r>
      <w:r>
        <w:rPr>
          <w:rFonts w:ascii="Times New Roman" w:hAnsi="Times New Roman"/>
          <w:sz w:val="20"/>
        </w:rPr>
        <w:t xml:space="preserve">” provided, that if the Exercise Price is not delivered on or before one (1) Trading Day following the date of delivery of the Exercise Notice, the Exercise Date shall be deemed to be one (1) Trading Day following the date of that the Exercise Price is delivered to the Company. No ink-original Notice of Exercise shall be required, nor shall any medallion guarantee (or other type of guarantee or notarization) of any Notice of Exercise be required.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Delivery of Warrant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Upon exercise of this Warrant, the Company shall promptly (but in no event later than two (2) Trading Days after the Exercise Date or such shorter period as shall constitute then applicable “regular way” settlement), upon the request of the Holder, cause the Transfer Agent to credit such aggregate number of shares of Common Stock to which the Holder is entitled pursuant to such exercise to the Holder’s or its designee’s balance account with The Depository Trust Company (“</w:t>
      </w:r>
      <w:r>
        <w:rPr>
          <w:rFonts w:ascii="Times New Roman" w:hAnsi="Times New Roman"/>
          <w:b/>
          <w:sz w:val="20"/>
        </w:rPr>
        <w:t>DTC</w:t>
      </w:r>
      <w:r>
        <w:rPr>
          <w:rFonts w:ascii="Times New Roman" w:hAnsi="Times New Roman"/>
          <w:sz w:val="20"/>
        </w:rPr>
        <w:t>”) through its Deposit Withdrawal Agent Commission system or if the Transfer Agent is not participating in the Fast Automated Securities Transfer Program (the “</w:t>
      </w:r>
      <w:r>
        <w:rPr>
          <w:rFonts w:ascii="Times New Roman" w:hAnsi="Times New Roman"/>
          <w:b/>
          <w:sz w:val="20"/>
        </w:rPr>
        <w:t>FAST Program</w:t>
      </w:r>
      <w:r>
        <w:rPr>
          <w:rFonts w:ascii="Times New Roman" w:hAnsi="Times New Roman"/>
          <w:sz w:val="20"/>
        </w:rPr>
        <w:t>”)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or any natural person or legal entity (each, a “</w:t>
      </w:r>
      <w:r>
        <w:rPr>
          <w:rFonts w:ascii="Times New Roman" w:hAnsi="Times New Roman"/>
          <w:b/>
          <w:sz w:val="20"/>
        </w:rPr>
        <w:t>Person</w:t>
      </w:r>
      <w:r>
        <w:rPr>
          <w:rFonts w:ascii="Times New Roman" w:hAnsi="Times New Roman"/>
          <w:sz w:val="20"/>
        </w:rPr>
        <w:t xml:space="preserve">”)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 While this Warrant remains outstanding, the Company shall maintain a transfer agent that participates in the FAST Program or any successor thereto. </w:t>
      </w:r>
    </w:p>
    <w:p>
      <w:pPr>
        <w:pStyle w:val="TextBody"/>
        <w:bidi w:val="0"/>
        <w:spacing w:before="120" w:after="0"/>
        <w:jc w:val="left"/>
        <w:rPr>
          <w:rFonts w:ascii="Times New Roman" w:hAnsi="Times New Roman"/>
          <w:sz w:val="20"/>
        </w:rPr>
      </w:pPr>
      <w:r>
        <w:rPr>
          <w:rFonts w:ascii="Times New Roman" w:hAnsi="Times New Roman"/>
          <w:sz w:val="20"/>
        </w:rPr>
        <w:t xml:space="preserve">(b) If by the close of the third (3rd) Trading Day after the Exercise Date, the Company fails to deliver to the Holder a certificate representing the required number of Warrant Shares in the manner required pursuant to </w:t>
      </w:r>
      <w:r>
        <w:rPr>
          <w:rFonts w:ascii="Times New Roman" w:hAnsi="Times New Roman"/>
          <w:sz w:val="20"/>
          <w:u w:val="single"/>
        </w:rPr>
        <w:t>Section 5(a)</w:t>
      </w:r>
      <w:r>
        <w:rPr>
          <w:rFonts w:ascii="Times New Roman" w:hAnsi="Times New Roman"/>
          <w:sz w:val="20"/>
        </w:rPr>
        <w:t xml:space="preserve"> or fails to cause the Transfer Agent to credit the Holder’s DTC account for such number of Warrant Shares to which the Holder is entitled, and if after such second (2nd) Trading Day and prior to the receipt of such Warrant Shares, the Holder purchases (in an open market transaction or otherwise, provided such purchases shall be made in a commercially reasonable manner at prevailing market prices) shares of Common Stock to deliver in satisfaction of a sale by the Holder of the Warrant Shares which the Holder anticipated receiving upon such exercise (a “</w:t>
      </w:r>
      <w:r>
        <w:rPr>
          <w:rFonts w:ascii="Times New Roman" w:hAnsi="Times New Roman"/>
          <w:b/>
          <w:sz w:val="20"/>
        </w:rPr>
        <w:t>Buy-In</w:t>
      </w:r>
      <w:r>
        <w:rPr>
          <w:rFonts w:ascii="Times New Roman" w:hAnsi="Times New Roman"/>
          <w:sz w:val="20"/>
        </w:rPr>
        <w:t xml:space="preserve">”), then the Company shall, within two (2) Trading Days after the Holder’s written request and in the Holder’s sole discretion, either (i) pay in cash to the Holder an amount equal to the Holder’s total purchase price (including commercially reasonable brokerage commissions, if any) for the shares of Common Stock so purchased, at which point the Company’s obligation to deliver such certificate (and to issue such Warrant Shares) or to cause the Holder’s DTC account to be credited for such Warrant Shares shall terminate or (ii) (x) pay cash to the Holder in an amount equal to the excess (if any) of Holder’s total purchase price (including commercially reasonable brokerage commissions, if any) for the shares of Common Stock so purchased in the Buy-In (assuming such sale was executed on commercially reasonable terms at prevailing market prices) over the product of (A) the number of shares of Common Stock purchased in the Buy-In, times (B) the Closing Sale Price of a share of Common Stock on the Exercise Date and (y) at the option of the Holder, either promptly deliver to the Holder a certificate or certificates representing such Warrant Shares or reinstate the portion of the Warrant and equivalent number of Warrant Shares for which such exercise was not honored (in which case such exercise shall be deemed rescinded).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permitted by law and subject to </w:t>
      </w:r>
      <w:r>
        <w:rPr>
          <w:rFonts w:ascii="Times New Roman" w:hAnsi="Times New Roman"/>
          <w:sz w:val="20"/>
          <w:u w:val="single"/>
        </w:rPr>
        <w:t>Section 5(b)</w:t>
      </w:r>
      <w:r>
        <w:rPr>
          <w:rFonts w:ascii="Times New Roman" w:hAnsi="Times New Roman"/>
          <w:sz w:val="20"/>
        </w:rPr>
        <w:t xml:space="preserve">, the Company’s obligations to cause the Transfer Agent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hAnsi="Times New Roman"/>
          <w:sz w:val="20"/>
          <w:u w:val="single"/>
        </w:rPr>
        <w:t>Section 5(b)</w:t>
      </w:r>
      <w:r>
        <w:rPr>
          <w:rFonts w:ascii="Times New Roman" w:hAnsi="Times New Roman"/>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Charges, Taxes and Expenses</w:t>
      </w:r>
      <w:r>
        <w:rPr>
          <w:rFonts w:ascii="Times New Roman" w:hAnsi="Times New Roman"/>
          <w:sz w:val="20"/>
        </w:rPr>
        <w:t xml:space="preserve">. Issuance and delivery of certificates for shares of Common Stock, if any,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(which shall in all cases include posting of an open penalty surety bond satisfactory to the Company and holding the Company harmless),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Certain Adjustments</w:t>
      </w:r>
      <w:r>
        <w:rPr>
          <w:rFonts w:ascii="Times New Roman" w:hAnsi="Times New Roman"/>
          <w:sz w:val="20"/>
        </w:rPr>
        <w:t xml:space="preserve">. The Exercise Price and number of Warrant Shares issuable upon exercise of this Warrant (the “Number of Warrant Shares”) are subject to adjustment from time to time as set forth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or (iii) of this paragraph shall become effective immediately after the effective date of such subdivision or combination.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If the Company, at any time while this Warrant is outstanding, distributes to all holders of Common Stock for no consideration (i) evidences of its indebtedness, (ii) any security (other than a distribution of Common Stock covered by the preceding paragraph) (iii) rights or warrants to subscribe for or purchase any security, or (iv) cash or any other asset (in each case, a “</w:t>
      </w:r>
      <w:r>
        <w:rPr>
          <w:rFonts w:ascii="Times New Roman" w:hAnsi="Times New Roman"/>
          <w:b/>
          <w:sz w:val="20"/>
        </w:rPr>
        <w:t>Distribution</w:t>
      </w:r>
      <w:r>
        <w:rPr>
          <w:rFonts w:ascii="Times New Roman" w:hAnsi="Times New Roman"/>
          <w:sz w:val="20"/>
        </w:rPr>
        <w:t xml:space="preserve">”), other than a reclassification as to which </w:t>
      </w:r>
      <w:r>
        <w:rPr>
          <w:rFonts w:ascii="Times New Roman" w:hAnsi="Times New Roman"/>
          <w:sz w:val="20"/>
          <w:u w:val="single"/>
        </w:rPr>
        <w:t>Section 9(c)</w:t>
      </w:r>
      <w:r>
        <w:rPr>
          <w:rFonts w:ascii="Times New Roman" w:hAnsi="Times New Roman"/>
          <w:sz w:val="20"/>
        </w:rPr>
        <w:t xml:space="preserve"> applies,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ownership limitation set forth in </w:t>
      </w:r>
      <w:r>
        <w:rPr>
          <w:rFonts w:ascii="Times New Roman" w:hAnsi="Times New Roman"/>
          <w:sz w:val="20"/>
          <w:u w:val="single"/>
        </w:rPr>
        <w:t>Section 11(a)</w:t>
      </w:r>
      <w:r>
        <w:rPr>
          <w:rFonts w:ascii="Times New Roman" w:hAnsi="Times New Roman"/>
          <w:sz w:val="20"/>
        </w:rPr>
        <w:t xml:space="preserve"> hereof) immediately before the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which a record is taken for such Distribution, or, if no such record is taken, the date as of which the record holders of Common Stock are to be determined for the participation in such Distribution </w:t>
      </w:r>
      <w:r>
        <w:rPr>
          <w:rFonts w:ascii="Times New Roman" w:hAnsi="Times New Roman"/>
          <w:i/>
          <w:sz w:val="20"/>
        </w:rPr>
        <w:t>provided, however</w:t>
      </w:r>
      <w:r>
        <w:rPr>
          <w:rFonts w:ascii="Times New Roman" w:hAnsi="Times New Roman"/>
          <w:sz w:val="20"/>
        </w:rPr>
        <w:t xml:space="preserve">, to the extent that the Holder’s right to participate in any such Distribution would result in the Holder exceeding the ownership limitation set forth in </w:t>
      </w:r>
      <w:r>
        <w:rPr>
          <w:rFonts w:ascii="Times New Roman" w:hAnsi="Times New Roman"/>
          <w:sz w:val="20"/>
          <w:u w:val="single"/>
        </w:rPr>
        <w:t>Section 11(a)</w:t>
      </w:r>
      <w:r>
        <w:rPr>
          <w:rFonts w:ascii="Times New Roman" w:hAnsi="Times New Roman"/>
          <w:sz w:val="20"/>
        </w:rPr>
        <w:t xml:space="preserve"> hereof, then the Holder shall not be entitled to participate in such Distribution to such extent (or in the beneficial ownership of any Common Stock as a result of such Distribution to such extent) and the portion of such Distribution shall be held in abeyance for the benefit of the Holder until the earlier of (i) such time, if ever, as the delivery to such Holder of such portion would not result in the Holder exceeding the ownership limitation set forth in </w:t>
      </w:r>
      <w:r>
        <w:rPr>
          <w:rFonts w:ascii="Times New Roman" w:hAnsi="Times New Roman"/>
          <w:sz w:val="20"/>
          <w:u w:val="single"/>
        </w:rPr>
        <w:t>Section 11(a)</w:t>
      </w:r>
      <w:r>
        <w:rPr>
          <w:rFonts w:ascii="Times New Roman" w:hAnsi="Times New Roman"/>
          <w:sz w:val="20"/>
        </w:rPr>
        <w:t xml:space="preserve"> hereof and (ii) such time as the Holder has exercised this Warrant.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effects any merger or consolidation of the Company with or into another Person, in which the Company is not the surviving entity, (ii) the Company effects any sale, transfer or disposition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b/>
          <w:sz w:val="20"/>
        </w:rPr>
        <w:t>Fundamental Transaction</w:t>
      </w:r>
      <w:r>
        <w:rPr>
          <w:rFonts w:ascii="Times New Roman" w:hAnsi="Times New Roman"/>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(in the case of clause (iii) above, assuming it had tendered, and the offeror had accepted, such Warrant Shares) then issuable upon exercise in full of this Warrant without regard to any limitations on exercise contained herein (the “</w:t>
      </w:r>
      <w:r>
        <w:rPr>
          <w:rFonts w:ascii="Times New Roman" w:hAnsi="Times New Roman"/>
          <w:b/>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hAnsi="Times New Roman"/>
          <w:sz w:val="20"/>
          <w:u w:val="single"/>
        </w:rPr>
        <w:t>Section 10</w:t>
      </w:r>
      <w:r>
        <w:rPr>
          <w:rFonts w:ascii="Times New Roman" w:hAnsi="Times New Roman"/>
          <w:sz w:val="20"/>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(c) shall similarly apply to subsequent transactions analogous of a Fundamental Transaction type.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Exercise Price</w:t>
      </w:r>
      <w:r>
        <w:rPr>
          <w:rFonts w:ascii="Times New Roman" w:hAnsi="Times New Roman"/>
          <w:sz w:val="20"/>
        </w:rPr>
        <w:t xml:space="preserve">. Simultaneously with any adjustment to the Number of Warrant Shares pursuant to </w:t>
      </w:r>
      <w:r>
        <w:rPr>
          <w:rFonts w:ascii="Times New Roman" w:hAnsi="Times New Roman"/>
          <w:sz w:val="20"/>
          <w:u w:val="single"/>
        </w:rPr>
        <w:t>Section 9</w:t>
      </w:r>
      <w:r>
        <w:rPr>
          <w:rFonts w:ascii="Times New Roman" w:hAnsi="Times New Roman"/>
          <w:sz w:val="20"/>
        </w:rPr>
        <w:t xml:space="preserve">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made to the nearest one-hundredth of one cent or the nearest share,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the event such notice and the contents thereof shall be deemed to constitute material non-public information, the Company shall (on the same time frame set forth in the immediately prior sentence) offer the Holder the ability to execute a confidentiality agreement related thereto sufficient to allow Holder the ability to receive such notice, and the Company shall deliver such notice immediately upon execution of such confidentiality agreement.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9(c)</w:t>
      </w:r>
      <w:r>
        <w:rPr>
          <w:rFonts w:ascii="Times New Roman" w:hAnsi="Times New Roman"/>
          <w:sz w:val="20"/>
        </w:rPr>
        <w:t xml:space="preserve">, other than a Fundamental Transaction under clause (iii) of </w:t>
      </w:r>
      <w:r>
        <w:rPr>
          <w:rFonts w:ascii="Times New Roman" w:hAnsi="Times New Roman"/>
          <w:sz w:val="20"/>
          <w:u w:val="single"/>
        </w:rPr>
        <w:t>Section 9(c)</w:t>
      </w:r>
      <w:r>
        <w:rPr>
          <w:rFonts w:ascii="Times New Roman" w:hAnsi="Times New Roman"/>
          <w:sz w:val="20"/>
        </w:rPr>
        <w:t xml:space="preserve">, then the Company shall deliver to the Holder a notice of such Fundamental Transaction at least ten (10) days prior to the date such Fundamental Transaction is consummated except that, if such notice and the contents thereof shall be deemed to constitute material non-public information, delivery shall be conditioned on Holder entering into a confidentiality agreement as described above. The exercise of this Warrant may, at the election of the Holder, be conditioned so as to occur contemporaneously with a Fundamental Transaction.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Payment of Cashless Exercise Price</w:t>
      </w:r>
      <w:r>
        <w:rPr>
          <w:rFonts w:ascii="Times New Roman" w:hAnsi="Times New Roman"/>
          <w:sz w:val="20"/>
        </w:rPr>
        <w:t xml:space="preserv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 </w:t>
      </w:r>
    </w:p>
    <w:p>
      <w:pPr>
        <w:pStyle w:val="TextBody"/>
        <w:bidi w:val="0"/>
        <w:spacing w:before="240" w:after="0"/>
        <w:jc w:val="left"/>
        <w:rPr>
          <w:rFonts w:ascii="Times New Roman" w:hAnsi="Times New Roman"/>
          <w:sz w:val="20"/>
        </w:rPr>
      </w:pPr>
      <w:r>
        <w:rPr>
          <w:rFonts w:ascii="Times New Roman" w:hAnsi="Times New Roman"/>
          <w:sz w:val="20"/>
        </w:rPr>
        <w:t xml:space="preserve">X = Y [(A-B)/A]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w:t>
      </w:r>
    </w:p>
    <w:p>
      <w:pPr>
        <w:pStyle w:val="TextBody"/>
        <w:bidi w:val="0"/>
        <w:spacing w:before="24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240" w:after="0"/>
        <w:jc w:val="left"/>
        <w:rPr/>
      </w:pPr>
      <w:r>
        <w:rPr/>
        <w:t>“</w:t>
      </w:r>
      <w:r>
        <w:rPr>
          <w:rFonts w:ascii="Times New Roman" w:hAnsi="Times New Roman"/>
          <w:sz w:val="20"/>
        </w:rPr>
        <w:t xml:space="preserve">A” equals the Closing Sale Price per share of Common Stock as of the Trading Day on the date immediately preceding the Exercise Date; and </w:t>
      </w:r>
    </w:p>
    <w:p>
      <w:pPr>
        <w:pStyle w:val="TextBody"/>
        <w:bidi w:val="0"/>
        <w:spacing w:before="240" w:after="0"/>
        <w:jc w:val="left"/>
        <w:rPr/>
      </w:pPr>
      <w:r>
        <w:rPr/>
        <w:t>“</w:t>
      </w:r>
      <w:r>
        <w:rPr>
          <w:rFonts w:ascii="Times New Roman" w:hAnsi="Times New Roman"/>
          <w:sz w:val="20"/>
        </w:rPr>
        <w:t xml:space="preserve">B” equals the Exercise Price per Warrant Share then in effect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such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the Registration Statement or another registration statement registering the issuance of Warrant Shares is, for any reason, not effective at the time of exercise of this Warrant, then this Warrant may only be exercised through a cashless exercise, as set forth in this </w:t>
      </w:r>
      <w:r>
        <w:rPr>
          <w:rFonts w:ascii="Times New Roman" w:hAnsi="Times New Roman"/>
          <w:sz w:val="20"/>
          <w:u w:val="single"/>
        </w:rPr>
        <w:t>Section 10</w:t>
      </w:r>
      <w:r>
        <w:rPr>
          <w:rFonts w:ascii="Times New Roman" w:hAnsi="Times New Roman"/>
          <w:sz w:val="20"/>
        </w:rPr>
        <w:t xml:space="preserve">. Except as set forth in </w:t>
      </w:r>
      <w:r>
        <w:rPr>
          <w:rFonts w:ascii="Times New Roman" w:hAnsi="Times New Roman"/>
          <w:sz w:val="20"/>
          <w:u w:val="single"/>
        </w:rPr>
        <w:t>Section 5(b)</w:t>
      </w:r>
      <w:r>
        <w:rPr>
          <w:rFonts w:ascii="Times New Roman" w:hAnsi="Times New Roman"/>
          <w:sz w:val="20"/>
        </w:rPr>
        <w:t xml:space="preserve"> (Buy-In remedy) and </w:t>
      </w:r>
      <w:r>
        <w:rPr>
          <w:rFonts w:ascii="Times New Roman" w:hAnsi="Times New Roman"/>
          <w:sz w:val="20"/>
          <w:u w:val="single"/>
        </w:rPr>
        <w:t>Section 12</w:t>
      </w:r>
      <w:r>
        <w:rPr>
          <w:rFonts w:ascii="Times New Roman" w:hAnsi="Times New Roman"/>
          <w:sz w:val="20"/>
        </w:rPr>
        <w:t xml:space="preserve"> (payment of cash in lieu of fractional shares), in no event will the exercise of this Warrant be settled in cash. For the avoidance of doubt, in the event that the Registration Statement or another registration statement registering the issuance of the Warrant Shares is, for any reason, not effective at the time of exercise of this Warrant, then a cashless exercise pursuant to this Section 10 in exchange for unregistered Warrant Shares in accordance with Section 3(a)(9) of the Securities Act shall be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Limitations on 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its Affiliates and any other Persons whose beneficial ownership of Common Stock would be aggregated with the Holder’s for purposes of Section 13(d) of the Securities Exchange Act of 1934, as amended (the “</w:t>
      </w:r>
      <w:r>
        <w:rPr>
          <w:rFonts w:ascii="Times New Roman" w:hAnsi="Times New Roman"/>
          <w:b/>
          <w:sz w:val="20"/>
        </w:rPr>
        <w:t>Exchange Act</w:t>
      </w:r>
      <w:r>
        <w:rPr>
          <w:rFonts w:ascii="Times New Roman" w:hAnsi="Times New Roman"/>
          <w:sz w:val="20"/>
        </w:rPr>
        <w:t>”), to exceed [___]1% (the “</w:t>
      </w:r>
      <w:r>
        <w:rPr>
          <w:rFonts w:ascii="Times New Roman" w:hAnsi="Times New Roman"/>
          <w:b/>
          <w:sz w:val="20"/>
        </w:rPr>
        <w:t>Maximum Percentage</w:t>
      </w:r>
      <w:r>
        <w:rPr>
          <w:rFonts w:ascii="Times New Roman" w:hAnsi="Times New Roman"/>
          <w:sz w:val="20"/>
        </w:rPr>
        <w:t xml:space="preserve">”) of the total number of issued and outstanding shares of Common Stock of the Company following such exercise, or (ii) the combined voting power of the securities of the Company beneficially owned by the Holder and its Affiliates and any other Persons whose beneficial ownership of Common Stock would be aggregated with the Holder’s for purposes of Section 13(d) of the Exchange Act to exceed [___]% of the combined voting power of all of the securities of the Company then outstanding following such exercise. For purposes of this Warrant, in determining the number of outstanding shares of Common Stock, the Holder may rely on the number of outstanding shares of Common Stock as reflected in (x) the Company’s most recent Quarterly Report on Form 10-Q or Annual Report on Form 10-K, as the case may be, filed with the Commission prior to the Exercise Date, (y) a more recent public announcement by the Company or (z) any other notice by the Company or the Transfer Agent setting forth the number of shares of Common Stock outstanding. Upon the written request of the Holder, the Company shall within three (3)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not less than 4.99% nor in excess of 19.99% specified in such notice; provided that any such increase or decrease will not be effective until the sixty-first (61st) day after such notice is delivered to the Company. For purposes of this </w:t>
      </w:r>
      <w:r>
        <w:rPr>
          <w:rFonts w:ascii="Times New Roman" w:hAnsi="Times New Roman"/>
          <w:sz w:val="20"/>
          <w:u w:val="single"/>
        </w:rPr>
        <w:t>Section 11(a)</w:t>
      </w:r>
      <w:r>
        <w:rPr>
          <w:rFonts w:ascii="Times New Roman" w:hAnsi="Times New Roman"/>
          <w:sz w:val="20"/>
        </w:rPr>
        <w:t xml:space="preserve">, the aggregate number of shares of Common Stock or voting securities beneficially owned by the Holder and its Affiliates and any other Persons whose beneficial ownership of Common Stock would be aggregated with the Holder’s for purposes of Section 13(d) of the Exchange Act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is subject to a limitation on conversion or exercise analogous to the limitation contained herein and is beneficially owned by the Holder or any of its Affiliates and other Persons whose beneficial ownership of Common Stock would be aggregated with the Holder’s for purposes of Section 13(d)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Times New Roman" w:hAnsi="Times New Roman"/>
          <w:sz w:val="20"/>
          <w:u w:val="single"/>
        </w:rPr>
        <w:t>Section 9(c)</w:t>
      </w:r>
      <w:r>
        <w:rPr>
          <w:rFonts w:ascii="Times New Roman" w:hAnsi="Times New Roman"/>
          <w:sz w:val="20"/>
        </w:rPr>
        <w:t xml:space="preserve">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via confirmed e-mail prior to 5:30 P.M., New York City time, on a Trading Day so long as the sender of an e-mail has not received an automated notice of delivery failure from the proposed recipient’s computer server, (ii) the next Trading Day after the date of transmission, if such notice or communication is delivered via confirmed e-mail on a day that is not a Trading Day or later than 5:30 P.M., New York City time, on any Trading Day so long as the sender of an e-mail has not received an automated notice of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Threshold to be set at 4.99% or 9.99% for certain 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delivery failure from the proposed recipient’s computer server, (iii) the Trading Day following the date of mailing, if sent by nationally recognized overnight courier service specifying next business day delivery, or (iv) upon actual receipt by the Person to whom such notice is required to be given, if by hand delivery. The addresses and e-mail addresses for such communications shall be: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REGENXBIO Inc. </w:t>
      </w:r>
    </w:p>
    <w:p>
      <w:pPr>
        <w:pStyle w:val="TextBody"/>
        <w:bidi w:val="0"/>
        <w:spacing w:before="0" w:after="0"/>
        <w:jc w:val="left"/>
        <w:rPr>
          <w:rFonts w:ascii="Times New Roman" w:hAnsi="Times New Roman"/>
          <w:sz w:val="20"/>
        </w:rPr>
      </w:pPr>
      <w:r>
        <w:rPr>
          <w:rFonts w:ascii="Times New Roman" w:hAnsi="Times New Roman"/>
          <w:sz w:val="20"/>
        </w:rPr>
        <w:t xml:space="preserve">9804 Medical Center Drive, </w:t>
      </w:r>
    </w:p>
    <w:p>
      <w:pPr>
        <w:pStyle w:val="TextBody"/>
        <w:bidi w:val="0"/>
        <w:spacing w:before="0" w:after="0"/>
        <w:jc w:val="left"/>
        <w:rPr>
          <w:rFonts w:ascii="Times New Roman" w:hAnsi="Times New Roman"/>
          <w:sz w:val="20"/>
        </w:rPr>
      </w:pPr>
      <w:r>
        <w:rPr>
          <w:rFonts w:ascii="Times New Roman" w:hAnsi="Times New Roman"/>
          <w:sz w:val="20"/>
        </w:rPr>
        <w:t xml:space="preserve">Rockville, MD 20850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Officer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Covington &amp; Burling LLP, </w:t>
      </w:r>
    </w:p>
    <w:p>
      <w:pPr>
        <w:pStyle w:val="TextBody"/>
        <w:bidi w:val="0"/>
        <w:spacing w:before="0" w:after="0"/>
        <w:jc w:val="left"/>
        <w:rPr>
          <w:rFonts w:ascii="Times New Roman" w:hAnsi="Times New Roman"/>
          <w:sz w:val="20"/>
        </w:rPr>
      </w:pPr>
      <w:r>
        <w:rPr>
          <w:rFonts w:ascii="Times New Roman" w:hAnsi="Times New Roman"/>
          <w:sz w:val="20"/>
        </w:rPr>
        <w:t xml:space="preserve">One CityCenter, 850 Tenth Street, NW,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20001, </w:t>
      </w:r>
    </w:p>
    <w:p>
      <w:pPr>
        <w:pStyle w:val="TextBody"/>
        <w:bidi w:val="0"/>
        <w:spacing w:before="0" w:after="0"/>
        <w:jc w:val="left"/>
        <w:rPr>
          <w:rFonts w:ascii="Times New Roman" w:hAnsi="Times New Roman"/>
          <w:sz w:val="20"/>
        </w:rPr>
      </w:pPr>
      <w:r>
        <w:rPr>
          <w:rFonts w:ascii="Times New Roman" w:hAnsi="Times New Roman"/>
          <w:sz w:val="20"/>
        </w:rPr>
        <w:t xml:space="preserve">Attention: Kerry S. Burke (email: kburke@cov.com) and Matthew C. Franker (email: mfranker@cov.com) </w:t>
      </w:r>
    </w:p>
    <w:p>
      <w:pPr>
        <w:pStyle w:val="TextBody"/>
        <w:bidi w:val="0"/>
        <w:spacing w:before="240" w:after="0"/>
        <w:jc w:val="left"/>
        <w:rPr>
          <w:rFonts w:ascii="Times New Roman" w:hAnsi="Times New Roman"/>
          <w:sz w:val="20"/>
        </w:rPr>
      </w:pPr>
      <w:r>
        <w:rPr>
          <w:rFonts w:ascii="Times New Roman" w:hAnsi="Times New Roman"/>
          <w:sz w:val="20"/>
        </w:rPr>
        <w:t xml:space="preserve">If to the Holder, to its address or e-mail address set forth herein or on the books and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Or, in each of the above instances, to such other address or e-mail address as the recipient party has specified by written notice given to each other party at least five (5) days prior to the effectiveness of such change. </w:t>
      </w:r>
    </w:p>
    <w:p>
      <w:pPr>
        <w:pStyle w:val="TextBody"/>
        <w:bidi w:val="0"/>
        <w:spacing w:before="120" w:after="0"/>
        <w:jc w:val="left"/>
        <w:rPr>
          <w:rFonts w:ascii="Times New Roman" w:hAnsi="Times New Roman"/>
          <w:sz w:val="20"/>
        </w:rPr>
      </w:pPr>
      <w:r>
        <w:rPr>
          <w:rFonts w:ascii="Times New Roman" w:hAnsi="Times New Roman"/>
          <w:sz w:val="20"/>
        </w:rPr>
        <w:t>14.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The Holder, solely in such Person’s capacity as a holder of this Warrant, shall not be entitled to vote or, except as provided herein, receive dividends or be deemed the holder of share capital of the Company for any purpose (other than for tax purposes),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except as provided herein,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Authorized Shares</w:t>
      </w:r>
      <w:r>
        <w:rPr>
          <w:rFonts w:ascii="Times New Roman" w:hAnsi="Times New Roman"/>
          <w:sz w:val="20"/>
        </w:rPr>
        <w:t xml:space="preserve">. 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Except as otherwise provided herein, the provisions of the Warrants may be amended and the Company may take any action herein prohibited, or omit to perform any act herein required to be performed by it, only if the Company has obtained the written consent of the Holder.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Tax Treatment</w:t>
      </w:r>
      <w:r>
        <w:rPr>
          <w:rFonts w:ascii="Times New Roman" w:hAnsi="Times New Roman"/>
          <w:sz w:val="20"/>
        </w:rPr>
        <w:t>. The Holder and the Company intend that the Warrant be treated for United States federal and state income tax purposes as capital stock of the Company and (ii) that the exercise of the Warrant for common stock of the Company be treated as a “reorganization” within the meaning of Section 368(a) of the Internal Revenue Code of 1986 (the “</w:t>
      </w:r>
      <w:r>
        <w:rPr>
          <w:rFonts w:ascii="Times New Roman" w:hAnsi="Times New Roman"/>
          <w:b/>
          <w:sz w:val="20"/>
        </w:rPr>
        <w:t>Code</w:t>
      </w:r>
      <w:r>
        <w:rPr>
          <w:rFonts w:ascii="Times New Roman" w:hAnsi="Times New Roman"/>
          <w:sz w:val="20"/>
        </w:rPr>
        <w:t>”), such treatment described in this sentence, the “</w:t>
      </w:r>
      <w:r>
        <w:rPr>
          <w:rFonts w:ascii="Times New Roman" w:hAnsi="Times New Roman"/>
          <w:b/>
          <w:sz w:val="20"/>
        </w:rPr>
        <w:t>Intended Tax Treatment</w:t>
      </w:r>
      <w:r>
        <w:rPr>
          <w:rFonts w:ascii="Times New Roman" w:hAnsi="Times New Roman"/>
          <w:sz w:val="20"/>
        </w:rPr>
        <w:t xml:space="preserve">”. Absent a contrary “determination” (within the meaning of Section 1313(a) of the Code or any corresponding provision of state income tax law) the Holder and the Company shall file all relevant income tax returns consistent with the Intended Tax Treatment, shall notify the other party of any challenge to such treatment by a taxing authority, and shall use reasonable efforts to defend such treatment in connection with any United States federal or state income tax audit or other proceeding.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THE WARRANT OR ANY OF THE DOCUMENTS DELIVERED HEREUNDER),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Severability</w:t>
      </w:r>
      <w:r>
        <w:rPr>
          <w:rFonts w:ascii="Times New Roman" w:hAnsi="Times New Roman"/>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before="120" w:after="0"/>
        <w:jc w:val="left"/>
        <w:rPr>
          <w:rFonts w:ascii="Times New Roman" w:hAnsi="Times New Roman"/>
          <w:sz w:val="20"/>
        </w:rPr>
      </w:pPr>
      <w:r>
        <w:rPr>
          <w:rFonts w:ascii="Times New Roman" w:hAnsi="Times New Roman"/>
          <w:sz w:val="20"/>
        </w:rPr>
        <w:t xml:space="preserve">(j) [Reserved.]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19"/>
        <w:gridCol w:w="90"/>
        <w:gridCol w:w="3473"/>
      </w:tblGrid>
      <w:tr>
        <w:trPr/>
        <w:tc>
          <w:tcPr>
            <w:tcW w:w="519"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347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REGENXBIO INC.</w:t>
            </w:r>
          </w:p>
        </w:tc>
      </w:tr>
      <w:tr>
        <w:trPr>
          <w:trHeight w:val="240" w:hRule="atLeast"/>
        </w:trPr>
        <w:tc>
          <w:tcPr>
            <w:tcW w:w="519" w:type="dxa"/>
            <w:tcBorders/>
            <w:vAlign w:val="center"/>
          </w:tcPr>
          <w:p>
            <w:pPr>
              <w:pStyle w:val="TableContents"/>
              <w:bidi w:val="0"/>
              <w:spacing w:before="0" w:after="283"/>
              <w:jc w:val="left"/>
              <w:rPr>
                <w:sz w:val="4"/>
                <w:szCs w:val="4"/>
              </w:rPr>
            </w:pPr>
            <w:r>
              <w:rPr>
                <w:sz w:val="4"/>
                <w:szCs w:val="4"/>
              </w:rPr>
            </w:r>
          </w:p>
        </w:tc>
        <w:tc>
          <w:tcPr>
            <w:tcW w:w="3563" w:type="dxa"/>
            <w:gridSpan w:val="2"/>
            <w:tcBorders/>
            <w:vAlign w:val="center"/>
          </w:tcPr>
          <w:p>
            <w:pPr>
              <w:pStyle w:val="TableContents"/>
              <w:bidi w:val="0"/>
              <w:spacing w:before="0" w:after="283"/>
              <w:jc w:val="left"/>
              <w:rPr>
                <w:sz w:val="4"/>
                <w:szCs w:val="4"/>
              </w:rPr>
            </w:pPr>
            <w:r>
              <w:rPr>
                <w:sz w:val="4"/>
                <w:szCs w:val="4"/>
              </w:rPr>
            </w:r>
          </w:p>
        </w:tc>
      </w:tr>
      <w:tr>
        <w:trPr/>
        <w:tc>
          <w:tcPr>
            <w:tcW w:w="519" w:type="dxa"/>
            <w:tcBorders/>
          </w:tcPr>
          <w:p>
            <w:pPr>
              <w:pStyle w:val="TableContents"/>
              <w:bidi w:val="0"/>
              <w:spacing w:before="0" w:after="283"/>
              <w:jc w:val="left"/>
              <w:rPr/>
            </w:pPr>
            <w:r>
              <w:rPr/>
              <w:t>By:</w:t>
            </w:r>
          </w:p>
        </w:tc>
        <w:tc>
          <w:tcPr>
            <w:tcW w:w="90" w:type="dxa"/>
            <w:tcBorders/>
            <w:vAlign w:val="bottom"/>
          </w:tcPr>
          <w:p>
            <w:pPr>
              <w:pStyle w:val="TableContents"/>
              <w:bidi w:val="0"/>
              <w:spacing w:before="0" w:after="283"/>
              <w:jc w:val="left"/>
              <w:rPr/>
            </w:pPr>
            <w:r>
              <w:rPr/>
              <w:t> </w:t>
            </w:r>
          </w:p>
        </w:tc>
        <w:tc>
          <w:tcPr>
            <w:tcW w:w="3473" w:type="dxa"/>
            <w:tcBorders/>
          </w:tcPr>
          <w:p>
            <w:pPr>
              <w:pStyle w:val="TableContents"/>
              <w:pBdr>
                <w:bottom w:val="single" w:sz="2" w:space="1" w:color="000000"/>
              </w:pBdr>
              <w:bidi w:val="0"/>
              <w:spacing w:before="0" w:after="20"/>
              <w:jc w:val="left"/>
              <w:rPr/>
            </w:pPr>
            <w:r>
              <w:rPr/>
              <w:t> </w:t>
            </w:r>
          </w:p>
        </w:tc>
      </w:tr>
      <w:tr>
        <w:trPr/>
        <w:tc>
          <w:tcPr>
            <w:tcW w:w="519"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473" w:type="dxa"/>
            <w:tcBorders/>
          </w:tcPr>
          <w:p>
            <w:pPr>
              <w:pStyle w:val="TableContents"/>
              <w:bidi w:val="0"/>
              <w:spacing w:before="0" w:after="283"/>
              <w:jc w:val="left"/>
              <w:rPr/>
            </w:pPr>
            <w:r>
              <w:rPr/>
              <w:t>Name:</w:t>
            </w:r>
          </w:p>
        </w:tc>
      </w:tr>
      <w:tr>
        <w:trPr/>
        <w:tc>
          <w:tcPr>
            <w:tcW w:w="519"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473"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Pre-funded Warrant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Warrant Shares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(1) The undersigned is the Holder of Warrant No. ___ (the “Warrant”) issued by REGENXBIO Inc., a Delaware corporation (the “Company”). Capitalized terms used herein and not otherwise defined herein have the respective meanings set forth in the Warrant. </w:t>
      </w:r>
    </w:p>
    <w:p>
      <w:pPr>
        <w:pStyle w:val="TextBody"/>
        <w:bidi w:val="0"/>
        <w:spacing w:before="120" w:after="0"/>
        <w:jc w:val="left"/>
        <w:rPr>
          <w:rFonts w:ascii="Times New Roman" w:hAnsi="Times New Roman"/>
          <w:sz w:val="20"/>
        </w:rPr>
      </w:pPr>
      <w:r>
        <w:rPr>
          <w:rFonts w:ascii="Times New Roman" w:hAnsi="Times New Roman"/>
          <w:sz w:val="20"/>
        </w:rPr>
        <w:t xml:space="preserve">(2) The undersigned hereby exercises its right to purchase Warrant Shares pursuant to the Warrant. </w:t>
      </w:r>
    </w:p>
    <w:p>
      <w:pPr>
        <w:pStyle w:val="TextBody"/>
        <w:bidi w:val="0"/>
        <w:spacing w:before="12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pPr>
            <w:r>
              <w:rPr/>
              <w:t>“</w:t>
            </w:r>
            <w:r>
              <w:rPr>
                <w:rFonts w:ascii="Times New Roman" w:hAnsi="Times New Roman"/>
                <w:sz w:val="20"/>
              </w:rPr>
              <w:t xml:space="preserve">Cashless Exercise” under Section 10 of the Warrant (assumed election absent express election to the contrary)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Exercise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(4) If the Holder has elected a Cash Exercise, the Holder shall pay the sum of $ __________ in immediately available funds to the Company in accordance with the terms of the Warrant. </w:t>
      </w:r>
    </w:p>
    <w:p>
      <w:pPr>
        <w:pStyle w:val="TextBody"/>
        <w:bidi w:val="0"/>
        <w:spacing w:before="120" w:after="0"/>
        <w:jc w:val="left"/>
        <w:rPr>
          <w:rFonts w:ascii="Times New Roman" w:hAnsi="Times New Roman"/>
          <w:sz w:val="20"/>
        </w:rPr>
      </w:pPr>
      <w:r>
        <w:rPr>
          <w:rFonts w:ascii="Times New Roman" w:hAnsi="Times New Roman"/>
          <w:sz w:val="20"/>
        </w:rPr>
        <w:t xml:space="preserve">(5) Pursuant to this Exercise Notice, the Company shall deliver to the Holder Warrant Shares determined in accordance with the terms of the Warrant. The Warrant Shares shall be delivered to the following DWAC Account Number: </w:t>
      </w:r>
      <w:r>
        <w:rPr>
          <w:rFonts w:ascii="Times New Roman" w:hAnsi="Times New Roman"/>
          <w:sz w:val="20"/>
          <w:u w:val="single"/>
        </w:rPr>
        <w:t>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its Affiliates and any other Person whose beneficial ownership of Common Stock would be aggregated with the Holder’s for purposes of Section 13(d) of the Exchange Act will not beneficially own in excess of the number of shares of Common Stock (as determined in accordance with Section 13(d) of the Securities Exchange Act of 1934, as amended) permitted to be owned under Section 11(a) of the Warrant to which this notice relates.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6"/>
        <w:gridCol w:w="101"/>
        <w:gridCol w:w="2858"/>
        <w:gridCol w:w="101"/>
        <w:gridCol w:w="5819"/>
      </w:tblGrid>
      <w:tr>
        <w:trPr/>
        <w:tc>
          <w:tcPr>
            <w:tcW w:w="132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819" w:type="dxa"/>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0"/>
              <w:jc w:val="left"/>
              <w:rPr>
                <w:rFonts w:ascii="Times New Roman" w:hAnsi="Times New Roman"/>
                <w:sz w:val="20"/>
              </w:rPr>
            </w:pPr>
            <w:r>
              <w:rPr>
                <w:rFonts w:ascii="Times New Roman" w:hAnsi="Times New Roman"/>
                <w:sz w:val="20"/>
              </w:rPr>
              <w:t>Dated:</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pBdr>
                <w:bottom w:val="single" w:sz="2" w:space="1" w:color="000000"/>
              </w:pBdr>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5819" w:type="dxa"/>
            <w:tcBorders/>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0"/>
              <w:jc w:val="left"/>
              <w:rPr>
                <w:rFonts w:ascii="Times New Roman" w:hAnsi="Times New Roman"/>
                <w:sz w:val="20"/>
              </w:rPr>
            </w:pPr>
            <w:r>
              <w:rPr>
                <w:rFonts w:ascii="Times New Roman" w:hAnsi="Times New Roman"/>
                <w:sz w:val="20"/>
              </w:rPr>
              <w:t>Name of Holder:</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pBdr>
                <w:bottom w:val="single" w:sz="2" w:space="1" w:color="000000"/>
              </w:pBdr>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5819" w:type="dxa"/>
            <w:tcBorders/>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pBdr>
                <w:bottom w:val="single" w:sz="2" w:space="1" w:color="000000"/>
              </w:pBdr>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5819" w:type="dxa"/>
            <w:tcBorders/>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pBdr>
                <w:bottom w:val="single" w:sz="2" w:space="1" w:color="000000"/>
              </w:pBdr>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5819" w:type="dxa"/>
            <w:tcBorders/>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pBdr>
                <w:bottom w:val="single" w:sz="2" w:space="1" w:color="000000"/>
              </w:pBdr>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5819"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right"/>
        <w:rPr>
          <w:rFonts w:ascii="Times New Roman" w:hAnsi="Times New Roman"/>
          <w:b/>
          <w:sz w:val="20"/>
        </w:rPr>
      </w:pPr>
      <w:bookmarkStart w:id="6" w:name="d40931dex51.htm"/>
      <w:bookmarkStart w:id="7" w:name="ksd40931dex51"/>
      <w:bookmarkEnd w:id="6"/>
      <w:bookmarkEnd w:id="7"/>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42"/>
        <w:gridCol w:w="122"/>
        <w:gridCol w:w="3265"/>
        <w:gridCol w:w="122"/>
        <w:gridCol w:w="2554"/>
      </w:tblGrid>
      <w:tr>
        <w:trPr/>
        <w:tc>
          <w:tcPr>
            <w:tcW w:w="414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r>
      <w:tr>
        <w:trPr/>
        <w:tc>
          <w:tcPr>
            <w:tcW w:w="4142" w:type="dxa"/>
            <w:tcBorders/>
          </w:tcPr>
          <w:p>
            <w:pPr>
              <w:pStyle w:val="TableContents"/>
              <w:bidi w:val="0"/>
              <w:spacing w:before="0" w:after="283"/>
              <w:jc w:val="left"/>
              <w:rPr/>
            </w:pPr>
            <w:r>
              <w:rPr/>
              <w:drawing>
                <wp:inline distT="0" distB="0" distL="0" distR="0">
                  <wp:extent cx="261937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19375" cy="600075"/>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554" w:type="dxa"/>
            <w:tcBorders/>
          </w:tcPr>
          <w:p>
            <w:pPr>
              <w:pStyle w:val="TableContents"/>
              <w:bidi w:val="0"/>
              <w:spacing w:before="0" w:after="283"/>
              <w:jc w:val="left"/>
              <w:rPr/>
            </w:pPr>
            <w:r>
              <w:rPr/>
              <w:drawing>
                <wp:inline distT="0" distB="0" distL="0" distR="0">
                  <wp:extent cx="1533525" cy="65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33525" cy="657225"/>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July 20, 2026 </w:t>
      </w:r>
    </w:p>
    <w:p>
      <w:pPr>
        <w:pStyle w:val="TextBody"/>
        <w:bidi w:val="0"/>
        <w:spacing w:before="240" w:after="0"/>
        <w:jc w:val="left"/>
        <w:rPr>
          <w:rFonts w:ascii="Times New Roman" w:hAnsi="Times New Roman"/>
          <w:sz w:val="20"/>
        </w:rPr>
      </w:pPr>
      <w:r>
        <w:rPr>
          <w:rFonts w:ascii="Times New Roman" w:hAnsi="Times New Roman"/>
          <w:sz w:val="20"/>
        </w:rPr>
        <w:t xml:space="preserve">REGENXBIO Inc. </w:t>
      </w:r>
    </w:p>
    <w:p>
      <w:pPr>
        <w:pStyle w:val="TextBody"/>
        <w:bidi w:val="0"/>
        <w:spacing w:before="0" w:after="0"/>
        <w:jc w:val="left"/>
        <w:rPr>
          <w:rFonts w:ascii="Times New Roman" w:hAnsi="Times New Roman"/>
          <w:sz w:val="20"/>
        </w:rPr>
      </w:pPr>
      <w:r>
        <w:rPr>
          <w:rFonts w:ascii="Times New Roman" w:hAnsi="Times New Roman"/>
          <w:sz w:val="20"/>
        </w:rPr>
        <w:t xml:space="preserve">9804 Medical Center Drive </w:t>
      </w:r>
    </w:p>
    <w:p>
      <w:pPr>
        <w:pStyle w:val="TextBody"/>
        <w:bidi w:val="0"/>
        <w:spacing w:before="0" w:after="0"/>
        <w:jc w:val="left"/>
        <w:rPr>
          <w:rFonts w:ascii="Times New Roman" w:hAnsi="Times New Roman"/>
          <w:sz w:val="20"/>
        </w:rPr>
      </w:pPr>
      <w:r>
        <w:rPr>
          <w:rFonts w:ascii="Times New Roman" w:hAnsi="Times New Roman"/>
          <w:sz w:val="20"/>
        </w:rPr>
        <w:t xml:space="preserve">Rockville, Maryland 20850 </w:t>
      </w:r>
    </w:p>
    <w:p>
      <w:pPr>
        <w:pStyle w:val="TextBody"/>
        <w:bidi w:val="0"/>
        <w:spacing w:before="240" w:after="0"/>
        <w:jc w:val="left"/>
        <w:rPr>
          <w:rFonts w:ascii="Times New Roman" w:hAnsi="Times New Roman"/>
          <w:sz w:val="20"/>
        </w:rPr>
      </w:pPr>
      <w:r>
        <w:rPr>
          <w:rFonts w:ascii="Times New Roman" w:hAnsi="Times New Roman"/>
          <w:sz w:val="20"/>
        </w:rPr>
        <w:t xml:space="preserve">Ladies &amp;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REGENXBIO Inc., a Delaware corporation (the “</w:t>
      </w:r>
      <w:r>
        <w:rPr>
          <w:rFonts w:ascii="Times New Roman" w:hAnsi="Times New Roman"/>
          <w:i/>
          <w:sz w:val="20"/>
        </w:rPr>
        <w:t>Company</w:t>
      </w:r>
      <w:r>
        <w:rPr>
          <w:rFonts w:ascii="Times New Roman" w:hAnsi="Times New Roman"/>
          <w:sz w:val="20"/>
        </w:rPr>
        <w:t>”), and are rendering this opinion in connection with the registration by the Company under the Securities Act of 1933 (the “</w:t>
      </w:r>
      <w:r>
        <w:rPr>
          <w:rFonts w:ascii="Times New Roman" w:hAnsi="Times New Roman"/>
          <w:i/>
          <w:sz w:val="20"/>
        </w:rPr>
        <w:t>Securities Act</w:t>
      </w:r>
      <w:r>
        <w:rPr>
          <w:rFonts w:ascii="Times New Roman" w:hAnsi="Times New Roman"/>
          <w:sz w:val="20"/>
        </w:rPr>
        <w:t>”) of the offer and sale of (i) 11,671,139 shares (the “</w:t>
      </w:r>
      <w:r>
        <w:rPr>
          <w:rFonts w:ascii="Times New Roman" w:hAnsi="Times New Roman"/>
          <w:i/>
          <w:sz w:val="20"/>
        </w:rPr>
        <w:t>Shares</w:t>
      </w:r>
      <w:r>
        <w:rPr>
          <w:rFonts w:ascii="Times New Roman" w:hAnsi="Times New Roman"/>
          <w:sz w:val="20"/>
        </w:rPr>
        <w:t>”) of the Company’s common stock, par value $0.0001 per share (the “</w:t>
      </w:r>
      <w:r>
        <w:rPr>
          <w:rFonts w:ascii="Times New Roman" w:hAnsi="Times New Roman"/>
          <w:i/>
          <w:sz w:val="20"/>
        </w:rPr>
        <w:t>Common Stock</w:t>
      </w:r>
      <w:r>
        <w:rPr>
          <w:rFonts w:ascii="Times New Roman" w:hAnsi="Times New Roman"/>
          <w:sz w:val="20"/>
        </w:rPr>
        <w:t>”), (ii) pre-funded warrants to purchase an aggregate of up to 1,111,111 shares of Common Stock (the “</w:t>
      </w:r>
      <w:r>
        <w:rPr>
          <w:rFonts w:ascii="Times New Roman" w:hAnsi="Times New Roman"/>
          <w:i/>
          <w:sz w:val="20"/>
        </w:rPr>
        <w:t>Pre-funded Warrants</w:t>
      </w:r>
      <w:r>
        <w:rPr>
          <w:rFonts w:ascii="Times New Roman" w:hAnsi="Times New Roman"/>
          <w:sz w:val="20"/>
        </w:rPr>
        <w:t>”), and (iii) 1,111,111 shares of Common Stock initially issuable upon exercise of the Pre-funded Warrants (the “</w:t>
      </w:r>
      <w:r>
        <w:rPr>
          <w:rFonts w:ascii="Times New Roman" w:hAnsi="Times New Roman"/>
          <w:i/>
          <w:sz w:val="20"/>
        </w:rPr>
        <w:t>Warrant Shares,</w:t>
      </w:r>
      <w:r>
        <w:rPr>
          <w:rFonts w:ascii="Times New Roman" w:hAnsi="Times New Roman"/>
          <w:sz w:val="20"/>
        </w:rPr>
        <w:t>” and, collectively with the Shares and the Pre-funded Warrants, the “</w:t>
      </w:r>
      <w:r>
        <w:rPr>
          <w:rFonts w:ascii="Times New Roman" w:hAnsi="Times New Roman"/>
          <w:i/>
          <w:sz w:val="20"/>
        </w:rPr>
        <w:t>Securities</w:t>
      </w:r>
      <w:r>
        <w:rPr>
          <w:rFonts w:ascii="Times New Roman" w:hAnsi="Times New Roman"/>
          <w:sz w:val="20"/>
        </w:rPr>
        <w:t>”), in each case, pursuant to the Registration Statement on Form S-3 (File No. 333-291816), filed with the United States Securities and Exchange Commission (the “</w:t>
      </w:r>
      <w:r>
        <w:rPr>
          <w:rFonts w:ascii="Times New Roman" w:hAnsi="Times New Roman"/>
          <w:i/>
          <w:sz w:val="20"/>
        </w:rPr>
        <w:t>Commission</w:t>
      </w:r>
      <w:r>
        <w:rPr>
          <w:rFonts w:ascii="Times New Roman" w:hAnsi="Times New Roman"/>
          <w:sz w:val="20"/>
        </w:rPr>
        <w:t>”) on November 26, 2025 (the “</w:t>
      </w:r>
      <w:r>
        <w:rPr>
          <w:rFonts w:ascii="Times New Roman" w:hAnsi="Times New Roman"/>
          <w:i/>
          <w:sz w:val="20"/>
        </w:rPr>
        <w:t>Registration Statement</w:t>
      </w:r>
      <w:r>
        <w:rPr>
          <w:rFonts w:ascii="Times New Roman" w:hAnsi="Times New Roman"/>
          <w:sz w:val="20"/>
        </w:rPr>
        <w:t>”). The Shares and Pre-funded Warrants are to be sold pursuant to the Underwriting Agreement, dated July 16, 2026 (the “</w:t>
      </w:r>
      <w:r>
        <w:rPr>
          <w:rFonts w:ascii="Times New Roman" w:hAnsi="Times New Roman"/>
          <w:i/>
          <w:sz w:val="20"/>
        </w:rPr>
        <w:t>Underwriting Agreement</w:t>
      </w:r>
      <w:r>
        <w:rPr>
          <w:rFonts w:ascii="Times New Roman" w:hAnsi="Times New Roman"/>
          <w:sz w:val="20"/>
        </w:rPr>
        <w:t>”), among the Company, Morgan Stanley &amp; Co. LLC, J.P. Morgan Securities LLC, Leerink Partners LLC and Mizuho Securities USA LLC, as representatives of the several underwriters named therein (the “</w:t>
      </w:r>
      <w:r>
        <w:rPr>
          <w:rFonts w:ascii="Times New Roman" w:hAnsi="Times New Roman"/>
          <w:i/>
          <w:sz w:val="20"/>
        </w:rPr>
        <w:t>Underwriters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Underwriting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Pre-funded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notice of the Registration Statement’s effectiveness, dated December 12,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corporate records, certificates and other documents, and such questions of law, as we have considered necessary or appropriate for the purposes of this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assumed that all signatures are genuine, that all documents submitted to us as originals are authentic and that all copies of documents submitted to us conform to the originals.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797560" cy="1187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97560" cy="11874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REGENXBIO Inc. </w:t>
      </w:r>
    </w:p>
    <w:p>
      <w:pPr>
        <w:pStyle w:val="TextBody"/>
        <w:bidi w:val="0"/>
        <w:spacing w:before="0" w:after="0"/>
        <w:jc w:val="left"/>
        <w:rPr>
          <w:rFonts w:ascii="Times New Roman" w:hAnsi="Times New Roman"/>
          <w:sz w:val="20"/>
        </w:rPr>
      </w:pPr>
      <w:r>
        <w:rPr>
          <w:rFonts w:ascii="Times New Roman" w:hAnsi="Times New Roman"/>
          <w:sz w:val="20"/>
        </w:rPr>
        <w:t xml:space="preserve">July 20,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We have assumed that the Shares have been or will be duly registered on the books of the transfer agent and registrar of the Common Stock in the name and on behalf of the Underwriters. We have assumed further that any Warrant Shares issued upon exercise of Pre-funded Warrants will be duly registered on the books of the transfer agent and registrar of the Common Stock in the name or on behalf of the exercising holders of such Pre-funded Warrants. We have assumed further that the Company will comply with applicable notice requirements regarding uncertificated shares provided under the Delaware General Corporation Law (the “</w:t>
      </w:r>
      <w:r>
        <w:rPr>
          <w:rFonts w:ascii="Times New Roman" w:hAnsi="Times New Roman"/>
          <w:i/>
          <w:sz w:val="20"/>
        </w:rPr>
        <w:t>DGCL</w:t>
      </w:r>
      <w:r>
        <w:rPr>
          <w:rFonts w:ascii="Times New Roman" w:hAnsi="Times New Roman"/>
          <w:sz w:val="20"/>
        </w:rPr>
        <w:t xml:space="preserve">”) with respect to the Shares and the Warrant Shares. We have assumed further that the Pre-funded Warrants will conform as to form to the specimen reviewed by us. We have assumed further that, except as to legal conclusions expressly set forth in this opinion, the information and representations and warranties contained in the agreements, instruments, records, certificates and other documents we reviewed were true, accurate and complete as of their stated date and are true, accurate and complete as of the date of this letter. </w:t>
      </w:r>
    </w:p>
    <w:p>
      <w:pPr>
        <w:pStyle w:val="TextBody"/>
        <w:bidi w:val="0"/>
        <w:spacing w:before="240" w:after="0"/>
        <w:jc w:val="left"/>
        <w:rPr>
          <w:rFonts w:ascii="Times New Roman" w:hAnsi="Times New Roman"/>
          <w:sz w:val="20"/>
        </w:rPr>
      </w:pPr>
      <w:r>
        <w:rPr>
          <w:rFonts w:ascii="Times New Roman" w:hAnsi="Times New Roman"/>
          <w:sz w:val="20"/>
        </w:rPr>
        <w:t xml:space="preserve">We have further assumed that the aggregate number of Warrant Shares issuable pursuant to exercise of the Pre-funded Warrants will not at any time exceed the number of shares of Common Stock available for issuance under the Company’s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We have relied as to certain matters on information obtained from public officials, officers of the Company and other sources believed by us to be responsible.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assumptions and qualifications set forth herein,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have been duly authorized, and, when duly issued and sold as contemplated by the Underwriting Agreement, the Shares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Pre-funded Warrants have been duly authorized, and when duly issued and sold as contemplated by the Underwriting Agreement, the Pre-funded Warrants will constitute the valid and binding obligations of the Company, enforceable against the Company in accordance with their terms, subject to bankruptcy, insolvency, fraudulent transfer, reorganization, moratorium and other laws of general applicability relating to or affecting creditors’ rights and to general equity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 Shares initially issuable upon exercise of the Pre-funded Warrants have been duly authorized and reserved for issuance and, when issued upon such exercise in accordance with the terms of the Pre-funded Warrants and upon receipt by the Company of full payment of the exercise price thereof in accordance with the terms of the Pre-funded Warrants, will be validly issued, fully paid and non-assessable.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797560" cy="1187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97560" cy="11874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REGENXBIO Inc. </w:t>
      </w:r>
    </w:p>
    <w:p>
      <w:pPr>
        <w:pStyle w:val="TextBody"/>
        <w:bidi w:val="0"/>
        <w:spacing w:before="0" w:after="0"/>
        <w:jc w:val="left"/>
        <w:rPr>
          <w:rFonts w:ascii="Times New Roman" w:hAnsi="Times New Roman"/>
          <w:sz w:val="20"/>
        </w:rPr>
      </w:pPr>
      <w:r>
        <w:rPr>
          <w:rFonts w:ascii="Times New Roman" w:hAnsi="Times New Roman"/>
          <w:sz w:val="20"/>
        </w:rPr>
        <w:t xml:space="preserve">July 20,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express no opinion as to: (i) waivers of defenses, subrogation and related rights, rights to trial by jury, rights to object to venue, or other provisions, however expressed, altering or eliminating the rights, liabilities or benefits a party otherwise would have or bestowed by operation of law; (ii) releases or waivers of unmatured claims or rights; (iii) indemnification, contribution, exculpation, hold-harmless or arbitration provisions, disclaimers, or provisions for the non-survival of representations, to the extent they purport to indemnify any party against, or release or limit any party’s liability for, its own breach or failure to comply with statutory obligations, or to the extent such provisions are contrary to public policy; (iv) provisions for contribution, liquidated damages, penalties, forfeitures, penalty interest, interest on interest, and premiums payable upon acceleration of indebtedness; (v) restrictions upon transfers, pledges, or assignments of a party’s rights under the Pre-funded Warrants; (vi) provisions purporting to supersede equitable principles, including provisions requiring amendments and waivers to be in writing and provisions making notices effective even if not actually received; (vii) provisions purporting to make a party’s determination conclusive or permitting a party to act in its sole and absolute discretion; (viii) exclusive jurisdiction or venue provisions; and (ix) provisions purporting to consent to service of process by specific methods of notice. </w:t>
      </w:r>
    </w:p>
    <w:p>
      <w:pPr>
        <w:pStyle w:val="TextBody"/>
        <w:bidi w:val="0"/>
        <w:spacing w:before="240" w:after="0"/>
        <w:jc w:val="left"/>
        <w:rPr>
          <w:rFonts w:ascii="Times New Roman" w:hAnsi="Times New Roman"/>
          <w:sz w:val="20"/>
        </w:rPr>
      </w:pPr>
      <w:r>
        <w:rPr>
          <w:rFonts w:ascii="Times New Roman" w:hAnsi="Times New Roman"/>
          <w:sz w:val="20"/>
        </w:rPr>
        <w:t xml:space="preserve">We are members of the bar of the District of Columbia and the State of New York. We do not express any opinion herein on any laws other than the DGCL and the law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Exhibit 5.1 to the Company’s Current Report on Form 8-K dated the date hereof relating to the offering of the Securities. We also hereby consent to the reference to our firm under the heading “Legal Matters” in the prospectus constituting part of the Registration Statement. In giving such consent, we do not thereby admit that we are in the category of persons whose consent is required under Section 7 of the Securities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Covington &amp; Burling LLP</w:t>
            </w:r>
          </w:p>
        </w:tc>
      </w:tr>
    </w:tbl>
    <w:p>
      <w:pPr>
        <w:pStyle w:val="TextBody"/>
        <w:bidi w:val="0"/>
        <w:spacing w:before="0" w:after="0"/>
        <w:jc w:val="right"/>
        <w:rPr>
          <w:rFonts w:ascii="Times New Roman" w:hAnsi="Times New Roman"/>
          <w:b/>
          <w:sz w:val="20"/>
        </w:rPr>
      </w:pPr>
      <w:bookmarkStart w:id="8" w:name="d40931dex991.htm"/>
      <w:bookmarkStart w:id="9" w:name="ksd40931dex991"/>
      <w:bookmarkEnd w:id="8"/>
      <w:bookmarkEnd w:id="9"/>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REGENXBIO Announces Pricing of Public Offering of Common Stock and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Jul 17, 2026 at 7:00 AM EDT </w:t>
      </w:r>
    </w:p>
    <w:p>
      <w:pPr>
        <w:pStyle w:val="TextBody"/>
        <w:bidi w:val="0"/>
        <w:spacing w:before="120" w:after="0"/>
        <w:jc w:val="left"/>
        <w:rPr>
          <w:rFonts w:ascii="Times New Roman" w:hAnsi="Times New Roman"/>
          <w:sz w:val="20"/>
        </w:rPr>
      </w:pPr>
      <w:r>
        <w:rPr>
          <w:rFonts w:ascii="Times New Roman" w:hAnsi="Times New Roman"/>
          <w:sz w:val="20"/>
        </w:rPr>
        <w:t xml:space="preserve">ROCKVILLE, Md., July 17, 2026 /PRNewswire/ — REGENXBIO Inc. (Nasdaq: RGNX) today announced the pricing of an underwritten public offering of 10,003,889 shares of its common stock at the price of $9.00 per share and 1,111,111 pre-funded warrants at a price of $8.9999 per warrant, in each case before underwriting discounts and commissions. The gross proceeds to REGENXBIO from the offering, before deducting the underwriting discounts and commissions and other offering expenses payable by REGENXBIO, are expected to be approximately $100.0 million. This offering is expected to close on July 20, 2026, subject to customary closing conditions. In addition, REGENXBIO has granted the underwriters a 30-day option to purchase an additional 1,667,250 shares of common stock at the public offering price, less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J.P. Morgan, Leerink Partners and Mizuho are acting as joint book-running managers of the offering. </w:t>
      </w:r>
    </w:p>
    <w:p>
      <w:pPr>
        <w:pStyle w:val="TextBody"/>
        <w:bidi w:val="0"/>
        <w:spacing w:before="240" w:after="0"/>
        <w:jc w:val="left"/>
        <w:rPr>
          <w:rFonts w:ascii="Times New Roman" w:hAnsi="Times New Roman"/>
          <w:sz w:val="20"/>
        </w:rPr>
      </w:pPr>
      <w:r>
        <w:rPr>
          <w:rFonts w:ascii="Times New Roman" w:hAnsi="Times New Roman"/>
          <w:sz w:val="20"/>
        </w:rPr>
        <w:t>The securities described above are being offered by REGENXBIO pursuant to a Registration Statement on Form S-3 that was filed with the Securities and Exchange Commission (the “SEC”) on November 26, 2025 (File No. 333-291816) and declared effective on December 12, 2025. A preliminary prospectus supplement relating to and describing the terms of the offering was filed with the SEC and is available on the SEC’s website at </w:t>
      </w:r>
      <w:r>
        <w:rPr>
          <w:rFonts w:ascii="Times New Roman" w:hAnsi="Times New Roman"/>
          <w:b/>
          <w:sz w:val="20"/>
          <w:u w:val="single"/>
        </w:rPr>
        <w:t>www.sec.gov</w:t>
      </w:r>
      <w:r>
        <w:rPr>
          <w:rFonts w:ascii="Times New Roman" w:hAnsi="Times New Roman"/>
          <w:sz w:val="20"/>
        </w:rPr>
        <w:t>. Copies of the preliminary prospectus supplement and the accompanying prospectus relating to this offering, when available, may be obtained from: Morgan Stanley &amp; Co. LLC, Attention: Prospectus Department, 180 Varick Street, 2nd Floor, New York, NY 10014, or by email at </w:t>
      </w:r>
      <w:r>
        <w:rPr>
          <w:rFonts w:ascii="Times New Roman" w:hAnsi="Times New Roman"/>
          <w:b/>
          <w:sz w:val="20"/>
          <w:u w:val="single"/>
        </w:rPr>
        <w:t>prospectus@morganstanley.com</w:t>
      </w:r>
      <w:r>
        <w:rPr>
          <w:rFonts w:ascii="Times New Roman" w:hAnsi="Times New Roman"/>
          <w:sz w:val="20"/>
        </w:rPr>
        <w:t>; J.P. Morgan Securities LLC, c/o Broadridge Financial Solutions, 1155 Long Island Avenue, Edgewood, New York 11717 or by email at </w:t>
      </w:r>
      <w:r>
        <w:rPr>
          <w:rFonts w:ascii="Times New Roman" w:hAnsi="Times New Roman"/>
          <w:b/>
          <w:sz w:val="20"/>
          <w:u w:val="single"/>
        </w:rPr>
        <w:t>prospectus-eq_fi@jpmchase.com</w:t>
      </w:r>
      <w:r>
        <w:rPr>
          <w:rFonts w:ascii="Times New Roman" w:hAnsi="Times New Roman"/>
          <w:sz w:val="20"/>
        </w:rPr>
        <w:t> and </w:t>
      </w:r>
      <w:r>
        <w:rPr>
          <w:rFonts w:ascii="Times New Roman" w:hAnsi="Times New Roman"/>
          <w:b/>
          <w:sz w:val="20"/>
          <w:u w:val="single"/>
        </w:rPr>
        <w:t>postsalemanualrequests@broadridge.com</w:t>
      </w:r>
      <w:r>
        <w:rPr>
          <w:rFonts w:ascii="Times New Roman" w:hAnsi="Times New Roman"/>
          <w:sz w:val="20"/>
        </w:rPr>
        <w:t>; Leerink Partners LLC, Attention: Syndicate Department, 53 State Street, 40th Floor, Boston, MA 02109, or by telephone at (800) 808-7525, ext. 6105, or by email at </w:t>
      </w:r>
      <w:r>
        <w:rPr>
          <w:rFonts w:ascii="Times New Roman" w:hAnsi="Times New Roman"/>
          <w:b/>
          <w:sz w:val="20"/>
          <w:u w:val="single"/>
        </w:rPr>
        <w:t>syndicate@leerink.com</w:t>
      </w:r>
      <w:r>
        <w:rPr>
          <w:rFonts w:ascii="Times New Roman" w:hAnsi="Times New Roman"/>
          <w:sz w:val="20"/>
        </w:rPr>
        <w:t>; Mizuho Securities USA LLC, Attention: Equity Capital Markets, 1271 Avenue of the Americas, 3rd Floor, New York, NY 10022, by telephone (212) 205-7600, or by email: </w:t>
      </w:r>
      <w:r>
        <w:rPr>
          <w:rFonts w:ascii="Times New Roman" w:hAnsi="Times New Roman"/>
          <w:b/>
          <w:sz w:val="20"/>
          <w:u w:val="single"/>
        </w:rPr>
        <w:t>US-ECM@mizuhogroup.com</w:t>
      </w:r>
      <w:r>
        <w:rPr>
          <w:rFonts w:ascii="Times New Roman" w:hAnsi="Times New Roman"/>
          <w:sz w:val="20"/>
        </w:rPr>
        <w:t xml:space="preserve">. The final terms of the offering will be disclosed in a final prospectus supplement to be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a solicitation of an offer to buy any of these securities, nor shall there be any sale of these securities in any state or jurisdiction in which such offer, solicitation or sale would be unlawful prior to registration or qualification under the applicable securities laws of such state or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REGENXBIO Inc. </w:t>
      </w:r>
    </w:p>
    <w:p>
      <w:pPr>
        <w:pStyle w:val="TextBody"/>
        <w:bidi w:val="0"/>
        <w:spacing w:before="120" w:after="0"/>
        <w:jc w:val="left"/>
        <w:rPr>
          <w:rFonts w:ascii="Times New Roman" w:hAnsi="Times New Roman"/>
          <w:sz w:val="20"/>
        </w:rPr>
      </w:pPr>
      <w:r>
        <w:rPr>
          <w:rFonts w:ascii="Times New Roman" w:hAnsi="Times New Roman"/>
          <w:sz w:val="20"/>
        </w:rPr>
        <w:t xml:space="preserve">REGENXBIO is a biotechnology company on a mission to improve lives through the curative potential of gene therapy. Since its founding in 2009, REGENXBIO has pioneered the field of AAV gene therapy. REGENXBIO is advancing a late-stage pipeline of one-time treatments for rare and retinal diseases, including RGX-202 for the treatment of Duchenne; surabgene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lomparvovec (ABBV-RGX-314) for the treatment of wet AMD and diabetic retinopathy, in collaboration with AbbVie, and NAVSUNLI (clemidsogene lanparvovec-sngl, RGX-121) for the treatment of MPS II and RGX-111 for the treatment of MPS I, both in partnership with Nippon Shinyaku. Thousands of patients have been treated with REGENXBIO’s AAV platform, including those receiving Novartis’ ZOLGENSMA®. REGENXBIO’s investigational gene therapies have the potential to change the way healthcare is delivered for millions of people.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press release includes “forward-looking statements,” within the meaning of Section 27A of the Securities Act of 1933, as amended, and Section 21E of the Securities Exchange Act of 1934, as amended. These statements express a belief, expectation or intention and are generally accompanied by words that convey projected future events or outcomes such as “anticipate,” “assume,” “believe,” “continue,” “could,” “design,” “estimate,” “expect,” “forecast,” “goal,” “intend,” “may,” “objective,” “plan,” “position,” “potential,” “predict,” “project,” “seek,” “should,” “will,” “would” or variations of such words or by similar expressions. The forward-looking statements include statements relating to, among other things, statements regarding the timing and success of the proposed offering and whether REGENXBIO will be able to raise capital through the sale of shares of common stock. REGENXBIO has based these forward-looking statements on its current expectations and assumptions and analyses made by REGENXBIO in light of its experience and its perception of historical trends, current conditions and expected future developments, as well as other factors REGENXBIO believes are appropriate under the circumstances. However, whether actual results and developments will conform with REGENXBIO’s expectations and predictions is subject to a number of risks and uncertainties, including the timing of enrollment, commencement and completion and the success of clinical trials conducted by REGENXBIO, its licensees and its partners, the timing of commencement and completion and the success of preclinical studies conducted by REGENXBIO and its development partners, the timely development and launch of new products, the ability to obtain and maintain regulatory approval of product candidates, the ability to obtain and maintain intellectual property protection for product candidates and technology, trends and challenges in the business and markets in which REGENXBIO operates, the size and growth of potential markets for product candidates and the ability to serve those markets, the rate and degree of acceptance of product candidates, and other factors, many of which are beyond the control of REGENXBIO. Refer to the “Risk Factors” and “Management’s Discussion and Analysis of Financial Condition and Results of Operations” sections of REGENXBIO’s Annual Report on Form 10-K for the year ended December 31, 2025, and comparable “Risk Factors” sections of REGENXBIO’s Quarterly Reports on Form 10-Q and other filings, which have been filed with the U.S. Securities and Exchange Commission (the “SEC”) and are available on the SEC’s website at </w:t>
      </w:r>
      <w:r>
        <w:rPr>
          <w:rFonts w:ascii="Times New Roman" w:hAnsi="Times New Roman"/>
          <w:b/>
          <w:sz w:val="20"/>
          <w:u w:val="single"/>
        </w:rPr>
        <w:t>www.sec.gov</w:t>
      </w:r>
      <w:r>
        <w:rPr>
          <w:rFonts w:ascii="Times New Roman" w:hAnsi="Times New Roman"/>
          <w:sz w:val="20"/>
        </w:rPr>
        <w:t xml:space="preserve">. All of the forward-looking statements made in this press release are expressly qualified by the cautionary statements contained or referred to herein. The actual results or developments anticipated may not be realized or, even if substantially realized, they may not have the expected consequences to or effects on REGENXBIO or its businesses or operations. Such statements are not guarantees of future performance and actual results or developments may differ materially from those projected in the forward-looking statements. Readers are cautioned not to rely too heavily on the forward-looking statements contained in this press release. These forward-looking statements speak only as of the date of this press release. Except as required by law, REGENXBIO does not undertake any obligation, and specifically declines any obligation, to update or revise any forward-looking statements, whether as a result of new information, future events or otherwise.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ZOLGENSMA® is a registered trademark of Novartis. All other trademarks referenced herein are registered trademarks of REGENXBIO. </w:t>
      </w:r>
    </w:p>
    <w:p>
      <w:pPr>
        <w:pStyle w:val="TextBody"/>
        <w:bidi w:val="0"/>
        <w:spacing w:before="240" w:after="0"/>
        <w:jc w:val="left"/>
        <w:rPr>
          <w:rFonts w:ascii="Times New Roman" w:hAnsi="Times New Roman"/>
          <w:b/>
          <w:sz w:val="20"/>
        </w:rPr>
      </w:pPr>
      <w:r>
        <w:rPr>
          <w:rFonts w:ascii="Times New Roman" w:hAnsi="Times New Roman"/>
          <w:b/>
          <w:sz w:val="20"/>
        </w:rPr>
        <w:t xml:space="preserve">CONTACTS: </w:t>
      </w:r>
    </w:p>
    <w:p>
      <w:pPr>
        <w:pStyle w:val="TextBody"/>
        <w:bidi w:val="0"/>
        <w:spacing w:before="240" w:after="0"/>
        <w:jc w:val="left"/>
        <w:rPr>
          <w:rFonts w:ascii="Times New Roman" w:hAnsi="Times New Roman"/>
          <w:sz w:val="20"/>
        </w:rPr>
      </w:pPr>
      <w:r>
        <w:rPr>
          <w:rFonts w:ascii="Times New Roman" w:hAnsi="Times New Roman"/>
          <w:sz w:val="20"/>
        </w:rPr>
        <w:t xml:space="preserve">Dana Cormack </w:t>
      </w:r>
    </w:p>
    <w:p>
      <w:pPr>
        <w:pStyle w:val="TextBody"/>
        <w:bidi w:val="0"/>
        <w:spacing w:before="0" w:after="0"/>
        <w:jc w:val="left"/>
        <w:rPr>
          <w:rFonts w:ascii="Times New Roman" w:hAnsi="Times New Roman"/>
          <w:sz w:val="20"/>
        </w:rPr>
      </w:pPr>
      <w:r>
        <w:rPr>
          <w:rFonts w:ascii="Times New Roman" w:hAnsi="Times New Roman"/>
          <w:sz w:val="20"/>
        </w:rPr>
        <w:t xml:space="preserve">Corporate Communications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Dcormack@regenxbio.com </w:t>
      </w:r>
    </w:p>
    <w:p>
      <w:pPr>
        <w:pStyle w:val="TextBody"/>
        <w:bidi w:val="0"/>
        <w:spacing w:before="240" w:after="0"/>
        <w:jc w:val="left"/>
        <w:rPr>
          <w:rFonts w:ascii="Times New Roman" w:hAnsi="Times New Roman"/>
          <w:sz w:val="20"/>
        </w:rPr>
      </w:pPr>
      <w:r>
        <w:rPr>
          <w:rFonts w:ascii="Times New Roman" w:hAnsi="Times New Roman"/>
          <w:sz w:val="20"/>
        </w:rPr>
        <w:t xml:space="preserve">Investors: </w:t>
      </w:r>
    </w:p>
    <w:p>
      <w:pPr>
        <w:pStyle w:val="TextBody"/>
        <w:bidi w:val="0"/>
        <w:spacing w:before="0" w:after="0"/>
        <w:jc w:val="left"/>
        <w:rPr>
          <w:rFonts w:ascii="Times New Roman" w:hAnsi="Times New Roman"/>
          <w:sz w:val="20"/>
        </w:rPr>
      </w:pPr>
      <w:r>
        <w:rPr>
          <w:rFonts w:ascii="Times New Roman" w:hAnsi="Times New Roman"/>
          <w:sz w:val="20"/>
        </w:rPr>
        <w:t xml:space="preserve">George E. MacDougall </w:t>
      </w:r>
    </w:p>
    <w:p>
      <w:pPr>
        <w:pStyle w:val="TextBody"/>
        <w:bidi w:val="0"/>
        <w:spacing w:before="0" w:after="0"/>
        <w:jc w:val="left"/>
        <w:rPr>
          <w:rFonts w:ascii="Times New Roman" w:hAnsi="Times New Roman"/>
          <w:sz w:val="20"/>
        </w:rPr>
      </w:pPr>
      <w:r>
        <w:rPr>
          <w:rFonts w:ascii="Times New Roman" w:hAnsi="Times New Roman"/>
          <w:sz w:val="20"/>
        </w:rPr>
        <w:t xml:space="preserve">Investor Relations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IR@regenxbio.com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26587</Words>
  <Characters>139866</Characters>
  <CharactersWithSpaces>166552</CharactersWithSpaces>
  <Paragraphs>817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