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59"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REGENXBIO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RGNX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59"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Pr>
          <w:p>
            <w:pPr>
              <w:spacing w:after="0"/>
              <w:rPr>
                <w:sz w:val="2"/>
                <w:szCs w:val="2"/>
                <w:color w:val="auto"/>
              </w:rPr>
            </w:pP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02210</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1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52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1,196</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ind w:left="32"/>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10.52</w:t>
            </w:r>
            <w:r>
              <w:rPr>
                <w:rFonts w:ascii="Arial" w:cs="Arial" w:eastAsia="Arial" w:hAnsi="Arial"/>
                <w:sz w:val="22"/>
                <w:szCs w:val="22"/>
                <w:color w:val="008000"/>
                <w:w w:val="84"/>
                <w:vertAlign w:val="superscript"/>
              </w:rPr>
              <w:t>(2)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696,819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ind w:left="4"/>
              <w:spacing w:after="0"/>
              <w:rPr>
                <w:sz w:val="20"/>
                <w:szCs w:val="20"/>
                <w:color w:val="auto"/>
              </w:rPr>
            </w:pPr>
            <w:r>
              <w:rPr>
                <w:rFonts w:ascii="Arial" w:cs="Arial" w:eastAsia="Arial" w:hAnsi="Arial"/>
                <w:sz w:val="18"/>
                <w:szCs w:val="18"/>
                <w:color w:val="0000FF"/>
                <w:w w:val="86"/>
              </w:rPr>
              <w:t>300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ind w:left="32"/>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10.52</w:t>
            </w:r>
            <w:r>
              <w:rPr>
                <w:rFonts w:ascii="Arial" w:cs="Arial" w:eastAsia="Arial" w:hAnsi="Arial"/>
                <w:sz w:val="22"/>
                <w:szCs w:val="22"/>
                <w:color w:val="008000"/>
                <w:w w:val="84"/>
                <w:vertAlign w:val="superscript"/>
              </w:rPr>
              <w:t>(3)</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696,519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ind w:left="4"/>
              <w:spacing w:after="0"/>
              <w:rPr>
                <w:sz w:val="20"/>
                <w:szCs w:val="20"/>
                <w:color w:val="auto"/>
              </w:rPr>
            </w:pPr>
            <w:r>
              <w:rPr>
                <w:rFonts w:ascii="Arial" w:cs="Arial" w:eastAsia="Arial" w:hAnsi="Arial"/>
                <w:sz w:val="18"/>
                <w:szCs w:val="18"/>
                <w:color w:val="0000FF"/>
                <w:w w:val="86"/>
              </w:rPr>
              <w:t>100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640" w:type="dxa"/>
            <w:vAlign w:val="bottom"/>
            <w:gridSpan w:val="2"/>
            <w:vMerge w:val="restart"/>
          </w:tcPr>
          <w:p>
            <w:pPr>
              <w:jc w:val="center"/>
              <w:ind w:right="5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10.43</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696,419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ind w:left="4"/>
              <w:spacing w:after="0"/>
              <w:rPr>
                <w:sz w:val="20"/>
                <w:szCs w:val="20"/>
                <w:color w:val="auto"/>
              </w:rPr>
            </w:pPr>
            <w:r>
              <w:rPr>
                <w:rFonts w:ascii="Arial" w:cs="Arial" w:eastAsia="Arial" w:hAnsi="Arial"/>
                <w:sz w:val="18"/>
                <w:szCs w:val="18"/>
                <w:color w:val="0000FF"/>
                <w:w w:val="86"/>
              </w:rPr>
              <w:t>100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640" w:type="dxa"/>
            <w:vAlign w:val="bottom"/>
            <w:gridSpan w:val="2"/>
            <w:vMerge w:val="restart"/>
          </w:tcPr>
          <w:p>
            <w:pPr>
              <w:jc w:val="center"/>
              <w:ind w:right="5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10.51</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696,319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ind w:left="4"/>
              <w:spacing w:after="0"/>
              <w:rPr>
                <w:sz w:val="20"/>
                <w:szCs w:val="20"/>
                <w:color w:val="auto"/>
              </w:rPr>
            </w:pPr>
            <w:r>
              <w:rPr>
                <w:rFonts w:ascii="Arial" w:cs="Arial" w:eastAsia="Arial" w:hAnsi="Arial"/>
                <w:sz w:val="18"/>
                <w:szCs w:val="18"/>
                <w:color w:val="0000FF"/>
                <w:w w:val="86"/>
              </w:rPr>
              <w:t>100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640" w:type="dxa"/>
            <w:vAlign w:val="bottom"/>
            <w:gridSpan w:val="2"/>
            <w:vMerge w:val="restart"/>
          </w:tcPr>
          <w:p>
            <w:pPr>
              <w:jc w:val="center"/>
              <w:ind w:right="5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10.45</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696,219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80" w:type="dxa"/>
            <w:vAlign w:val="bottom"/>
            <w:gridSpan w:val="2"/>
            <w:vMerge w:val="restart"/>
          </w:tcPr>
          <w:p>
            <w:pPr>
              <w:jc w:val="center"/>
              <w:ind w:left="525"/>
              <w:spacing w:after="0"/>
              <w:rPr>
                <w:sz w:val="20"/>
                <w:szCs w:val="20"/>
                <w:color w:val="auto"/>
              </w:rPr>
            </w:pPr>
            <w:r>
              <w:rPr>
                <w:rFonts w:ascii="Arial" w:cs="Arial" w:eastAsia="Arial" w:hAnsi="Arial"/>
                <w:sz w:val="18"/>
                <w:szCs w:val="18"/>
                <w:color w:val="0000FF"/>
                <w:w w:val="88"/>
              </w:rPr>
              <w:t>05/04/2016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jc w:val="center"/>
              <w:ind w:left="4"/>
              <w:spacing w:after="0"/>
              <w:rPr>
                <w:sz w:val="20"/>
                <w:szCs w:val="20"/>
                <w:color w:val="auto"/>
              </w:rPr>
            </w:pPr>
            <w:r>
              <w:rPr>
                <w:rFonts w:ascii="Arial" w:cs="Arial" w:eastAsia="Arial" w:hAnsi="Arial"/>
                <w:sz w:val="18"/>
                <w:szCs w:val="18"/>
                <w:color w:val="0000FF"/>
                <w:w w:val="86"/>
              </w:rPr>
              <w:t>100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640" w:type="dxa"/>
            <w:vAlign w:val="bottom"/>
            <w:gridSpan w:val="2"/>
            <w:vMerge w:val="restart"/>
          </w:tcPr>
          <w:p>
            <w:pPr>
              <w:jc w:val="center"/>
              <w:ind w:right="5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10.42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696,119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6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By F-Prime Capital Partners Healthcare Fund III LP, Impresa Fund III Limited Partnership and F-Prime Inc. The general partner of F-Prime Capital Partners Healthcare Fund III LP is F-Prime Capital Partners Healthcare Advisors Fund III LP (FPCPHA). FPCPHA and Impresa Fund III Limited Partnership are each solely managed by Impresa Management LLC, their general partner and investment manager. Impresa Management LLC is owned, directly or indirectly, by various shareholders and employees of FMR LLC, including certain members of the Johnson family. F-Prime Inc. is a wholly-owned subsidiary of</w:t>
      </w:r>
    </w:p>
    <w:p>
      <w:pPr>
        <w:ind w:left="40"/>
        <w:spacing w:after="0"/>
        <w:rPr>
          <w:rFonts w:ascii="Arial" w:cs="Arial" w:eastAsia="Arial" w:hAnsi="Arial"/>
          <w:sz w:val="12"/>
          <w:szCs w:val="12"/>
          <w:color w:val="008000"/>
        </w:rPr>
      </w:pPr>
      <w:r>
        <w:rPr>
          <w:rFonts w:ascii="Arial" w:cs="Arial" w:eastAsia="Arial" w:hAnsi="Arial"/>
          <w:sz w:val="14"/>
          <w:szCs w:val="14"/>
          <w:color w:val="008000"/>
        </w:rPr>
        <w:t>FMR LLC.</w:t>
      </w:r>
    </w:p>
    <w:p>
      <w:pPr>
        <w:spacing w:after="0" w:line="29"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$10.50 to $10.56.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$10.46 to $10.62. FMR LLC hereby undertakes to provide upon request by the Commission staff, the issuer, or a security holder of the issuer full information regarding the number of shares and prices at which the transaction was effected.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spacing w:after="0" w:line="265" w:lineRule="auto"/>
        <w:rPr>
          <w:sz w:val="20"/>
          <w:szCs w:val="20"/>
          <w:color w:val="auto"/>
        </w:rPr>
      </w:pPr>
      <w:r>
        <w:rPr>
          <w:rFonts w:ascii="Arial" w:cs="Arial" w:eastAsia="Arial" w:hAnsi="Arial"/>
          <w:sz w:val="12"/>
          <w:szCs w:val="12"/>
          <w:color w:val="008000"/>
        </w:rPr>
        <w:t>Remark 1: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FMR Co., Inc. (FMRC), an indirect wholly-owned subsidiary of FMR LLC and an investment adviser registered under the Investment Advisers Act of 1940, and Fidelity Institutional Asset Management Trust Company (FIAMTC), an indirect wholly-owned subsidiary of FMR LLC and a bank as defined in Section 3(a)(6) of the Securities Exchange Act of 1934 (Exchange Act), are the beneficial owners of Common Stock of REGENXBIO Inc. as a result of acting as investment adviser to various client funds and accounts. FMR LLC and Abigail P. Johnson have no pecuniary interest in the Common Stock beneficially owned by FMRC and FIAMTC. Remark 3: The filing of this statement shall not be deemed to be an admission that, for purposes of Section 16 of the Securities Exchange Act of 1934 or otherwise, the undersigned are the beneficial owners of any securities reported herein.</w:t>
      </w:r>
    </w:p>
    <w:p>
      <w:pPr>
        <w:spacing w:after="0" w:line="17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0000FF"/>
                <w:w w:val="91"/>
              </w:rPr>
              <w:t>Marc R. Bryant, Duly</w:t>
            </w:r>
          </w:p>
        </w:tc>
        <w:tc>
          <w:tcPr>
            <w:tcW w:w="1560" w:type="dxa"/>
            <w:vAlign w:val="bottom"/>
            <w:gridSpan w:val="2"/>
          </w:tcPr>
          <w:p>
            <w:pPr>
              <w:jc w:val="right"/>
              <w:spacing w:after="0"/>
              <w:rPr>
                <w:sz w:val="20"/>
                <w:szCs w:val="20"/>
                <w:color w:val="auto"/>
              </w:rPr>
            </w:pPr>
            <w:r>
              <w:rPr>
                <w:rFonts w:ascii="Arial" w:cs="Arial" w:eastAsia="Arial" w:hAnsi="Arial"/>
                <w:sz w:val="18"/>
                <w:szCs w:val="18"/>
                <w:color w:val="0000FF"/>
              </w:rPr>
              <w:t>05/06/2016</w:t>
            </w:r>
          </w:p>
        </w:tc>
      </w:tr>
      <w:tr>
        <w:trPr>
          <w:trHeight w:val="20"/>
        </w:trPr>
        <w:tc>
          <w:tcPr>
            <w:tcW w:w="1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9"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8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FMR LLC and its direct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6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ectPr>
          <w:pgSz w:w="11900" w:h="16859"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indirect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1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Abigail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3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3312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2019-12-09T00:07:29Z</dcterms:created>
  <dcterms:modified xsi:type="dcterms:W3CDTF">2019-12-09T00:07:29Z</dcterms:modified>
</cp:coreProperties>
</file>