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980" w:firstLine="749"/>
        <w:spacing w:after="0" w:line="266" w:lineRule="auto"/>
        <w:rPr>
          <w:sz w:val="20"/>
          <w:szCs w:val="20"/>
          <w:color w:val="auto"/>
        </w:rPr>
      </w:pPr>
      <w:r>
        <w:rPr>
          <w:rFonts w:ascii="Times New Roman" w:cs="Times New Roman" w:eastAsia="Times New Roman" w:hAnsi="Times New Roman"/>
          <w:sz w:val="18"/>
          <w:szCs w:val="18"/>
          <w:color w:val="auto"/>
        </w:rPr>
        <w:t>On January 28, 2026, REGENXBIO Inc. (the “Company”) announced that it received communication from the U.S. Food and Drug Administration (“FDA”) that the Company’s Investigational New Drug applications for both its Phase I/II trial evaluating RGX-111 for Mucopolysaccharidosis type I and its Phase I/II/III trial of RGX-121 for Mucopolysaccharidosis type II were placed on clinical hold.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copy of the press release is filed herewith as Exhibit 99.1 to this Current Report on Form 8-K and incorporated herein by reference.</w:t>
      </w:r>
    </w:p>
    <w:p>
      <w:pPr>
        <w:spacing w:after="0" w:line="3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2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January 28, 2026.</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REGENXBIO Announces Regulatory Update on Ultra Rare MPS Programs</w:t>
      </w:r>
    </w:p>
    <w:p>
      <w:pPr>
        <w:spacing w:after="0" w:line="204"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ROCKVILLE, Md., January 28, 2026 – REGENXBIO Inc. (Nasdaq: RGNX) today announced that the U.S. Food and Drug Administration (FDA) placed a clinical hold on its investigational gene therapy, RGX-111, for the treatment of MPS I, also known as Hurler syndrome, following preliminary analysis of a single case of neoplasm (intraventricular CNS tumor) in a participant treated in its Phase I/II study. The FDA also placed a clinical hold on RGX-121, for the treatment of MPS II, also known as Hunter Syndrome, citing the similarities in products, study populations, and shared risk between the clinical studies.</w:t>
      </w:r>
    </w:p>
    <w:p>
      <w:pPr>
        <w:spacing w:after="0" w:line="175"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The case was identified during a routine brain MRI of an asymptomatic five-year-old participant who received intracisternal RGX-111 four years prior. Preliminary genetic analysis of the resected tumor detected an AAV vector genome integration event associated with overexpression of a proto-oncogene (PLAG1), which is known to be susceptible to chromosomal rearrangements. The investigation to determine if this SAE is drug related is ongoing. The causality has not been established. The participant continues to be asymptomatic, with positive developmental advancements noted by the treating physician. No evidence of neoplasm has been reported in the nine other participants treated with RGX-111 nor in the 32 participants treated with RGX-121.</w:t>
      </w:r>
    </w:p>
    <w:p>
      <w:pPr>
        <w:spacing w:after="0" w:line="172"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“We are surprised by FDA’s decision to place our RGX-121 program on hold while the investigation of this single, inconclusive incident in RGX-111 continues,” said Curran Simpson, President and CEO of REGENXBIO. “These are separate therapies, and the positive safety profile of RGX-121 in more than 30 patients treated, including those dosed nearly seven years ago, remains unchanged. Patient safety is our top priority, and we, our investigators, and the patient community remain confident in the benefit-risk ratio of RGX-121 and are highly encouraged by the meaningful efficacy profile demonstrated in the pivotal trial. RGX-121 presents an opportunity to address the urgent, significant unmet medical need in this ultra-rare disease community, and continued delay means continued neurodevelopmental decline in boys with MPS II.”</w:t>
      </w:r>
    </w:p>
    <w:p>
      <w:pPr>
        <w:spacing w:after="0" w:line="172" w:lineRule="exact"/>
        <w:rPr>
          <w:sz w:val="20"/>
          <w:szCs w:val="20"/>
          <w:color w:val="auto"/>
        </w:rPr>
      </w:pPr>
    </w:p>
    <w:p>
      <w:pPr>
        <w:ind w:right="2200"/>
        <w:spacing w:after="0" w:line="347" w:lineRule="auto"/>
        <w:rPr>
          <w:sz w:val="20"/>
          <w:szCs w:val="20"/>
          <w:color w:val="auto"/>
        </w:rPr>
      </w:pPr>
      <w:r>
        <w:rPr>
          <w:rFonts w:ascii="Arial" w:cs="Arial" w:eastAsia="Arial" w:hAnsi="Arial"/>
          <w:sz w:val="20"/>
          <w:szCs w:val="20"/>
          <w:color w:val="auto"/>
        </w:rPr>
        <w:t xml:space="preserve">REGENXBIO has not yet received the full clinical hold letter and awaits additional details from the FDA. </w:t>
      </w:r>
      <w:r>
        <w:rPr>
          <w:rFonts w:ascii="Arial" w:cs="Arial" w:eastAsia="Arial" w:hAnsi="Arial"/>
          <w:sz w:val="20"/>
          <w:szCs w:val="20"/>
          <w:b w:val="1"/>
          <w:bCs w:val="1"/>
          <w:color w:val="auto"/>
        </w:rPr>
        <w:t>About RGX-121 (clemidsogene lanparvovec)</w:t>
      </w:r>
    </w:p>
    <w:p>
      <w:pPr>
        <w:spacing w:after="0" w:line="1" w:lineRule="exact"/>
        <w:rPr>
          <w:sz w:val="20"/>
          <w:szCs w:val="20"/>
          <w:color w:val="auto"/>
        </w:rPr>
      </w:pPr>
    </w:p>
    <w:p>
      <w:pPr>
        <w:ind w:right="320"/>
        <w:spacing w:after="0" w:line="232" w:lineRule="auto"/>
        <w:rPr>
          <w:sz w:val="20"/>
          <w:szCs w:val="20"/>
          <w:color w:val="auto"/>
        </w:rPr>
      </w:pPr>
      <w:r>
        <w:rPr>
          <w:rFonts w:ascii="Arial" w:cs="Arial" w:eastAsia="Arial" w:hAnsi="Arial"/>
          <w:sz w:val="20"/>
          <w:szCs w:val="20"/>
          <w:color w:val="auto"/>
        </w:rPr>
        <w:t>RGX-121 is a potential one-time gene therapy for the treatment of boys with MPS II, designed to deliver the iduronate-2-sulfatase (</w:t>
      </w:r>
      <w:r>
        <w:rPr>
          <w:rFonts w:ascii="Arial" w:cs="Arial" w:eastAsia="Arial" w:hAnsi="Arial"/>
          <w:sz w:val="20"/>
          <w:szCs w:val="20"/>
          <w:i w:val="1"/>
          <w:iCs w:val="1"/>
          <w:color w:val="auto"/>
        </w:rPr>
        <w:t>IDS</w:t>
      </w:r>
      <w:r>
        <w:rPr>
          <w:rFonts w:ascii="Arial" w:cs="Arial" w:eastAsia="Arial" w:hAnsi="Arial"/>
          <w:sz w:val="20"/>
          <w:szCs w:val="20"/>
          <w:color w:val="auto"/>
        </w:rPr>
        <w:t xml:space="preserve">) gene to the central nervous system (CNS). Delivery of the </w:t>
      </w:r>
      <w:r>
        <w:rPr>
          <w:rFonts w:ascii="Arial" w:cs="Arial" w:eastAsia="Arial" w:hAnsi="Arial"/>
          <w:sz w:val="20"/>
          <w:szCs w:val="20"/>
          <w:i w:val="1"/>
          <w:iCs w:val="1"/>
          <w:color w:val="auto"/>
        </w:rPr>
        <w:t>IDS</w:t>
      </w:r>
      <w:r>
        <w:rPr>
          <w:rFonts w:ascii="Arial" w:cs="Arial" w:eastAsia="Arial" w:hAnsi="Arial"/>
          <w:sz w:val="20"/>
          <w:szCs w:val="20"/>
          <w:color w:val="auto"/>
        </w:rPr>
        <w:t xml:space="preserve"> gene within cells in the CNS could provide a permanent source of secreted iduronate-2-sulfatase (I2S) protein beyond the blood-brain barrier, allowing for long-term cross correction of cells throughout the CNS. RGX-121 expressed protein is structurally identical to normal I2S.</w:t>
      </w:r>
    </w:p>
    <w:p>
      <w:pPr>
        <w:spacing w:after="0" w:line="105"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RGX-121 has received Orphan Drug Product, Rare Pediatric Disease, Fast Track and Regenerative Medicine Advanced Therapy (RMAT) designations from the FDA and advanced therapy medicinal products (ATMP) classification from the European Medicines Agency.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Mucopolysaccharidosis Type II (MPS II)</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MPS II, or Hunter Syndrome, is a rare, X-linked recessive disease caused by a deficiency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right="140"/>
        <w:spacing w:after="0" w:line="233" w:lineRule="auto"/>
        <w:rPr>
          <w:sz w:val="20"/>
          <w:szCs w:val="20"/>
          <w:color w:val="auto"/>
        </w:rPr>
      </w:pPr>
      <w:r>
        <w:rPr>
          <w:rFonts w:ascii="Arial" w:cs="Arial" w:eastAsia="Arial" w:hAnsi="Arial"/>
          <w:sz w:val="20"/>
          <w:szCs w:val="20"/>
          <w:color w:val="auto"/>
        </w:rPr>
        <w:t>lysosomal enzyme I2S leading to an accumulation of glycosaminoglycans (GAGs), including heparan sulfate (HS) in tissues which ultimately results in cell, tissue, and organ dysfunction, including in the central nervous system (CNS). In severe forms of the disease, early developmental milestones may be met, but developmental delay is readily apparent by 18 to 24 months. Specific treatment to address the neurological manifestations of MPS II remains a significant unmet medical need. Key biomarkers of I2S enzymatic activity in MPS II patients include its substrate CSF HS D2S6, which has been shown to correlate with neurocognitive manifestations of the disorder.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RGX-111</w:t>
      </w:r>
    </w:p>
    <w:p>
      <w:pPr>
        <w:spacing w:after="0" w:line="6"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color w:val="auto"/>
        </w:rPr>
        <w:t>RGX-111 is designed to use the AAV9 vector to deliver the α-l-iduronidase (IDUA) gene to the central nervous system (CNS). Delivery of the IDUA gene within the cells in the central nervous system (CNS) could provide a permanent source of secreted IDUA beyond the blood-brain barrier, allowing for long-term cross-correction of cells throughout the CNS. By providing rapid IDUA delivery to the brain, RGX-111 could potentially help prevent the progression of cognitive deficits that otherwise occurs in MPS I patients. RGX-111 has received orphan drug product, rare pediatric disease and Fast Track designations from the FDA.</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Mucopolysaccharidosis Type I (MPS I)</w:t>
      </w:r>
    </w:p>
    <w:p>
      <w:pPr>
        <w:spacing w:after="0" w:line="6" w:lineRule="exact"/>
        <w:rPr>
          <w:sz w:val="20"/>
          <w:szCs w:val="20"/>
          <w:color w:val="auto"/>
        </w:rPr>
      </w:pPr>
    </w:p>
    <w:p>
      <w:pPr>
        <w:ind w:right="240"/>
        <w:spacing w:after="0" w:line="228" w:lineRule="auto"/>
        <w:rPr>
          <w:sz w:val="20"/>
          <w:szCs w:val="20"/>
          <w:color w:val="auto"/>
        </w:rPr>
      </w:pPr>
      <w:r>
        <w:rPr>
          <w:rFonts w:ascii="Arial" w:cs="Arial" w:eastAsia="Arial" w:hAnsi="Arial"/>
          <w:sz w:val="20"/>
          <w:szCs w:val="20"/>
          <w:color w:val="auto"/>
        </w:rPr>
        <w:t>MPS I is a rare autosomal recessive genetic disease caused by a deficiency in the lysosomal enzyme alpha-L-iduronidase (IDUA), leading to an accumulation of glycosaminoglycans (GAGs) including heparan sulfate (HS) in tissues which ultimately results in cell, tissue, and organ dysfunction, including in the central nervous system (CNS). This can include excessive accumulation of fluid in the brain, spinal cord compression, and cognitive impairment. MPS I is estimated to occur in 1 in 100,000 births. Current disease modifying therapies for MPS I include hematopoietic stem cell transplant (HSCT) and enzyme replacement therapy with a recombinant form of human IDUA administered intravenously. However, intravenous enzyme therapy does not treat the CNS manifestations of MPS I, and HSCT can be associated with clinically significant morbidity and mortality. Key biomarkers of IDUA enzymatic activity in MPS I patients include its substrate heparan sulfate (HS), which has been shown to correlate with neurocognitive manifestations of the disorder.</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 xml:space="preserve">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NAVSUNLI for the treatment of MPS II and RGX-111 for the treatment of MPS I, both in partnership with Nippon Shinyaku; and surabgene lomparvovec (ABBV-RGX-314) for the treatment of wet AMD and diabetic retinopathy, in collaboration with AbbVie. Thousands of patients have been treated with REGENXBIO's AAV platform, including those receiving Novartis' ZOLGENSMA®. REGENXBIO's investigational gene therapies have the potential to change the way healthcare is delivered for millions of people. For more information, please visit </w:t>
      </w:r>
      <w:r>
        <w:rPr>
          <w:rFonts w:ascii="Arial" w:cs="Arial" w:eastAsia="Arial" w:hAnsi="Arial"/>
          <w:sz w:val="20"/>
          <w:szCs w:val="20"/>
          <w:b w:val="1"/>
          <w:bCs w:val="1"/>
          <w:color w:val="auto"/>
        </w:rPr>
        <w:t>www.REGENXBIO.com</w:t>
      </w:r>
      <w:r>
        <w:rPr>
          <w:rFonts w:ascii="Arial" w:cs="Arial" w:eastAsia="Arial" w:hAnsi="Arial"/>
          <w:sz w:val="20"/>
          <w:szCs w:val="20"/>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jc w:val="both"/>
        <w:ind w:right="400"/>
        <w:spacing w:after="0" w:line="243" w:lineRule="auto"/>
        <w:rPr>
          <w:sz w:val="20"/>
          <w:szCs w:val="20"/>
          <w:color w:val="auto"/>
        </w:rPr>
      </w:pPr>
      <w:r>
        <w:rPr>
          <w:rFonts w:ascii="Arial" w:cs="Arial" w:eastAsia="Arial" w:hAnsi="Arial"/>
          <w:sz w:val="19"/>
          <w:szCs w:val="19"/>
          <w:color w:val="auto"/>
        </w:rPr>
        <w:t>"believe,"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w:t>
      </w:r>
    </w:p>
    <w:p>
      <w:pPr>
        <w:spacing w:after="0" w:line="2"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 xml:space="preserve">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2024, and comparable "risk factors" sections of REGENXBIO's Quarterly Reports on Form 10-Q and other filings, which have been filed with the SEC and are available on the SEC's website at </w:t>
      </w:r>
      <w:r>
        <w:rPr>
          <w:rFonts w:ascii="Arial" w:cs="Arial" w:eastAsia="Arial" w:hAnsi="Arial"/>
          <w:sz w:val="20"/>
          <w:szCs w:val="20"/>
          <w:b w:val="1"/>
          <w:bCs w:val="1"/>
          <w:color w:val="auto"/>
        </w:rPr>
        <w:t>WWW.SEC.GOV</w:t>
      </w:r>
      <w:r>
        <w:rPr>
          <w:rFonts w:ascii="Arial" w:cs="Arial" w:eastAsia="Arial" w:hAnsi="Arial"/>
          <w:sz w:val="20"/>
          <w:szCs w:val="20"/>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 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Gene Therapies. All other trademarks referenced herein are registered trademarks of REGENXBIO.</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Dana Cormack</w:t>
      </w:r>
    </w:p>
    <w:p>
      <w:pPr>
        <w:spacing w:after="0" w:line="229" w:lineRule="auto"/>
        <w:rPr>
          <w:sz w:val="20"/>
          <w:szCs w:val="20"/>
          <w:color w:val="auto"/>
        </w:rPr>
      </w:pPr>
      <w:r>
        <w:rPr>
          <w:rFonts w:ascii="Arial" w:cs="Arial" w:eastAsia="Arial" w:hAnsi="Arial"/>
          <w:sz w:val="20"/>
          <w:szCs w:val="20"/>
          <w:color w:val="auto"/>
        </w:rPr>
        <w:t>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467886"/>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George E. MacDougall</w:t>
      </w:r>
    </w:p>
    <w:p>
      <w:pPr>
        <w:spacing w:after="0" w:line="229" w:lineRule="auto"/>
        <w:rPr>
          <w:sz w:val="20"/>
          <w:szCs w:val="20"/>
          <w:color w:val="auto"/>
        </w:rPr>
      </w:pPr>
      <w:r>
        <w:rPr>
          <w:rFonts w:ascii="Arial" w:cs="Arial" w:eastAsia="Arial" w:hAnsi="Arial"/>
          <w:sz w:val="20"/>
          <w:szCs w:val="20"/>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467886"/>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1103630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2026-01-28T07:37:13Z</dcterms:created>
  <dcterms:modified xsi:type="dcterms:W3CDTF">2026-01-28T07:37:13Z</dcterms:modified>
</cp:coreProperties>
</file>