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On February 9, 2026, REGENXBIO Inc. (the “Company”) announced that it received a Complete Response Letter ("CRL") from the U.S. Food and Drug Administration ("FDA") regarding the Company’s Biologics License Application ("BLA") for RGX-121, the Company's investigational gene therapy for Mucopolysaccharidosis type II. A copy of the press release is furnished as Exhibit 99.1 to this Current Report on Form 8-K and incorporated herein by reference.</w:t>
      </w:r>
    </w:p>
    <w:p>
      <w:pPr>
        <w:spacing w:after="0" w:line="139"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7.01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On February 7, 2026, the Company received a CRL from the FDA regarding the Company’s BLA for RGX-121, the Company's investigational gene therapy for Mucopolysaccharidosis type II.</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2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February 9, 2026.</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Announces Regulatory Update on RGX-121 BLA for MPS II</w:t>
      </w:r>
    </w:p>
    <w:p>
      <w:pPr>
        <w:spacing w:after="0" w:line="137" w:lineRule="exact"/>
        <w:rPr>
          <w:sz w:val="20"/>
          <w:szCs w:val="20"/>
          <w:color w:val="auto"/>
        </w:rPr>
      </w:pPr>
    </w:p>
    <w:p>
      <w:pPr>
        <w:ind w:left="760" w:right="198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FDA issues Complete Response Letter for RGX-121 (clemidsogene lanparvovec) for treatment of Mucopolysaccharidosis II (MPS II)</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REGENXBIO plans to work with FDA on a path forward with the goal of resubmitting the BLA</w:t>
      </w:r>
    </w:p>
    <w:p>
      <w:pPr>
        <w:spacing w:after="0" w:line="198"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ROCKVILLE, Md., February 9, 2026 – REGENXBIO Inc. (Nasdaq: RGNX) today announced that the U.S. Food and Drug Administration (FDA) has issued a Complete Response Letter (CRL) regarding its Biologics License Application (BLA) for RGX-121 (clemidsogene lanparvovec) for the treatment of Mucopolysaccharidosis II (MPS II), an ultra-rare neurodegenerative disease also known as Hunter syndrome.</w:t>
      </w:r>
    </w:p>
    <w:p>
      <w:pPr>
        <w:spacing w:after="0" w:line="10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In May 2025, the FDA accepted the RGX-121 BLA under the accelerated approval pathway. In the February 7, 2026 CRL, the FDA stated that it had agreed to the study protocol in principle and outlined several reasons for not approving the gene therapy, including uncertainty regarding the study eligibility criteria to adequately define a population with neuronopathic disease (vs. attenuated disease), the comparability of the natural history external control to the study population, and the appropriateness of CSF HS D2S6 as a surrogate endpoint reasonably likely to predict clinical benefit. The CRL lists several potential paths forward, including a new study, treating additional patients and conducting longer-term follow up, and using an untreated control arm, all of which would be challenging in an ultra-rare disease population, like MPS II.</w:t>
      </w:r>
    </w:p>
    <w:p>
      <w:pPr>
        <w:spacing w:after="0" w:line="91"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“This decision is devastating for the families of boys living with this progressive, life-threatening disease,” said Curran Simpson, President and CEO of REGENXBIO. “We are concerned about FDA’s feedback regarding the overall development path and evaluation of the data in the context of the urgent need for this irreversible ultra-rare disease. We remain confident in the quality and volume of evidence demonstrating the long-term potential of RGX-121 to positively change the trajectory of Hunter syndrome. This program has been in development for over 10 years. We are incredibly grateful to all the patients, their families, investigators, and site staff who have supported this program and our continued efforts to bring a much-needed new treatment option to the Hunter syndrome community. We will continue those efforts.”</w:t>
      </w:r>
    </w:p>
    <w:p>
      <w:pPr>
        <w:spacing w:after="0" w:line="104"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Throughout active discussions during the BLA process, REGENXBIO believed it had addressed the points raised in the CRL through the submission of additional data and responses to numerous information requests. Independent, leading global MPS and biomarker experts conducted analyses and reviews with the FDA, as well. Ultimately, the FDA did not agree the data set provided substantial evidence of effectiveness to support approval of RGX-121 for the treatment of MPS II.</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REGENXBIO plans to request a Type A meeting to discuss the CRL, as well as the planned BLA resubmission to provide additional evidence from global MPS II experts to further clarify the neuronopathic patient population and additional longer-term clinical data to support evidence of effectiveness. REGENXBIO intends to find a path forward as quickly as possible with the goal of resubmitting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280"/>
        <w:spacing w:after="0" w:line="233" w:lineRule="auto"/>
        <w:rPr>
          <w:sz w:val="20"/>
          <w:szCs w:val="20"/>
          <w:color w:val="auto"/>
        </w:rPr>
      </w:pPr>
      <w:r>
        <w:rPr>
          <w:rFonts w:ascii="Arial" w:cs="Arial" w:eastAsia="Arial" w:hAnsi="Arial"/>
          <w:sz w:val="20"/>
          <w:szCs w:val="20"/>
          <w:color w:val="auto"/>
        </w:rPr>
        <w:t>“MPS II is a very complex disease, but its impact is well established, resulting in irreversible brain damage for the majority of patients; without appropriate treatments stopping this neurocognitive decline, the neuronopathic MPS II child will die prematurely, usually in their mid-teens,” said Joseph Muenzer, M.D., Ph.D., Director, Muenzer MPS Research and Treatment Center, Bryson Distinguished Professor in the Division of Genetics and Metabolism, Department of Pediatrics Genetics, University of North Carolina at Chapel Hill. “I remain encouraged by the clinical data behind RGX-121. New innovations like gene therapy could make a significant impact for these patients, and time is precious for these families.”</w:t>
      </w:r>
    </w:p>
    <w:p>
      <w:pPr>
        <w:spacing w:after="0" w:line="10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“I’ve seen the severe impact of MPS II on patients and their families firsthand and am extremely disheartened by today’s news,” said Terri Klein, President and CEO, National MPS Society. “Families know the devastating trajectory of this disease all too well and have waited 20 years for new treatment options. They cannot wait any longer. Drug development for ultra-rare disease must be streamlined to allow new medicines to reach patients. We urge the FDA to find a swift path forward so that boys living with MPS II and their families have the chance for a better life.”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RGX-121 (clemidsogene lanparvovec)</w:t>
      </w:r>
    </w:p>
    <w:p>
      <w:pPr>
        <w:spacing w:after="0" w:line="6"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RGX-121 is a potential one-time gene therapy for the treatment of boys with MPS II, designed to deliver the iduronate-2-sulfatase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to the CNS. Delivery of the </w:t>
      </w:r>
      <w:r>
        <w:rPr>
          <w:rFonts w:ascii="Arial" w:cs="Arial" w:eastAsia="Arial" w:hAnsi="Arial"/>
          <w:sz w:val="20"/>
          <w:szCs w:val="20"/>
          <w:i w:val="1"/>
          <w:iCs w:val="1"/>
          <w:color w:val="auto"/>
        </w:rPr>
        <w:t>IDS</w:t>
      </w:r>
      <w:r>
        <w:rPr>
          <w:rFonts w:ascii="Arial" w:cs="Arial" w:eastAsia="Arial" w:hAnsi="Arial"/>
          <w:sz w:val="20"/>
          <w:szCs w:val="20"/>
          <w:color w:val="auto"/>
        </w:rPr>
        <w:t xml:space="preserve"> gene within cells in the CNS could provide a permanent source of secreted iduronate-2-sulfatase (I2S) protein beyond the blood-brain barrier, allowing for long-term cross correction of cells throughout the CNS. RGX-121 expressed protein is structurally identical to normal I2S.</w:t>
      </w:r>
    </w:p>
    <w:p>
      <w:pPr>
        <w:spacing w:after="0" w:line="105"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The BLA for RGX-121 for MPS II was supported by positive biomarker, functional and safety data from the CAMPSIITE I/II/III trial, including out to 12 months. RGX-121 has been well tolerated in all patients dosed across all phases of the CAMPSIITE trial.</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RGX-121 has received Orphan Drug Product, Rare Pediatric Disease, Fast Track and Regenerative Medicine Advanced Therapy (RMAT) designations from the FDA and advanced therapy medicinal products (ATMP) classification from the European Medicines Agency.</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Mucopolysaccharidosis Type II (MPS II)</w:t>
      </w:r>
    </w:p>
    <w:p>
      <w:pPr>
        <w:spacing w:after="0" w:line="6"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MPS II, or Hunter Syndrome, is a rare, X-linked recessive disease caused by a deficiency in the lysosomal enzyme I2S leading to an accumulation of glycosaminoglycans (GAGs), including heparan sulfate (HS) in tissues which ultimately results in cell, tissue, and organ dysfunction, including in the central nervous system (CNS). In severe forms of the disease, early developmental milestones may be met, but developmental delay is readily apparent by 18 to 24 months. Specific treatment to address the neurological manifestations of MPS II remains a significant unmet medical need. Key biomarkers of I2S enzymatic activity in MPS II patients include its substrate CSF HS D2S6, which has been shown to correlate with neurocognitive manifestations of the disorder.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 both in partnership with Nippon Shinyaku; and surabgene lomparvovec (ABBV-RGX-314)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ind w:right="40"/>
        <w:spacing w:after="0" w:line="239" w:lineRule="auto"/>
        <w:rPr>
          <w:sz w:val="20"/>
          <w:szCs w:val="20"/>
          <w:color w:val="auto"/>
        </w:rPr>
      </w:pPr>
      <w:r>
        <w:rPr>
          <w:rFonts w:ascii="Arial" w:cs="Arial" w:eastAsia="Arial" w:hAnsi="Arial"/>
          <w:sz w:val="20"/>
          <w:szCs w:val="20"/>
          <w:color w:val="auto"/>
        </w:rPr>
        <w:t xml:space="preserve">the treatment of wet AMD and diabetic retinopathy, in collaboration with AbbVie. Thousands of patients have been treated with REGENXBIO's AAV platform, including those receiving Novartis' ZOLGENSMA®. REGENXBIO's investigational gene therapies have the potential to change the way healthcare is delivered for millions of people. For more information, please visit </w:t>
      </w:r>
      <w:r>
        <w:rPr>
          <w:rFonts w:ascii="Arial" w:cs="Arial" w:eastAsia="Arial" w:hAnsi="Arial"/>
          <w:sz w:val="20"/>
          <w:szCs w:val="20"/>
          <w:b w:val="1"/>
          <w:bCs w:val="1"/>
          <w:color w:val="0563C1"/>
        </w:rPr>
        <w:t>www.REGENXBIO.com</w:t>
      </w:r>
      <w:r>
        <w:rPr>
          <w:rFonts w:ascii="Arial" w:cs="Arial" w:eastAsia="Arial" w:hAnsi="Arial"/>
          <w:sz w:val="20"/>
          <w:szCs w:val="20"/>
          <w:color w:val="000000"/>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 on the SEC's website at </w:t>
      </w:r>
      <w:r>
        <w:rPr>
          <w:rFonts w:ascii="Arial" w:cs="Arial" w:eastAsia="Arial" w:hAnsi="Arial"/>
          <w:sz w:val="19"/>
          <w:szCs w:val="19"/>
          <w:b w:val="1"/>
          <w:bCs w:val="1"/>
          <w:color w:val="0563C1"/>
        </w:rPr>
        <w:t>WWW.SEC.GOV</w:t>
      </w:r>
      <w:r>
        <w:rPr>
          <w:rFonts w:ascii="Arial" w:cs="Arial" w:eastAsia="Arial" w:hAnsi="Arial"/>
          <w:sz w:val="19"/>
          <w:szCs w:val="19"/>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Gene Therapies. All other trademarks referenced herein are registered trademarks of REGENXBIO.</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b w:val="1"/>
          <w:bCs w:val="1"/>
          <w:color w:val="0563C1"/>
        </w:rPr>
        <w:t>Dcormack@regenxbio.com</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25" w:right="101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2026-02-10T05:35:27Z</dcterms:created>
  <dcterms:modified xsi:type="dcterms:W3CDTF">2026-02-10T05:35:27Z</dcterms:modified>
</cp:coreProperties>
</file>